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A8" w:rsidRDefault="00F757A8" w:rsidP="00F757A8">
      <w:pPr>
        <w:jc w:val="left"/>
      </w:pPr>
      <w:bookmarkStart w:id="0" w:name="_GoBack"/>
      <w:bookmarkEnd w:id="0"/>
      <w:r>
        <w:rPr>
          <w:rFonts w:cs="Arial"/>
          <w:b/>
          <w:bCs/>
          <w:sz w:val="26"/>
          <w:szCs w:val="26"/>
        </w:rPr>
        <w:t>3.</w:t>
      </w:r>
      <w:r>
        <w:rPr>
          <w:b/>
          <w:bCs/>
          <w:sz w:val="26"/>
          <w:szCs w:val="26"/>
        </w:rPr>
        <w:t>7</w:t>
      </w:r>
      <w:r>
        <w:rPr>
          <w:rFonts w:cs="Arial"/>
          <w:b/>
          <w:bCs/>
          <w:sz w:val="26"/>
          <w:szCs w:val="26"/>
        </w:rPr>
        <w:t xml:space="preserve"> Rechnungen und Zahlungen</w:t>
      </w:r>
    </w:p>
    <w:p w:rsidR="00F757A8" w:rsidRDefault="00F757A8" w:rsidP="00F757A8">
      <w:pPr>
        <w:jc w:val="left"/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rPr>
          <w:b/>
          <w:bCs/>
        </w:rPr>
        <w:t>Allgemeines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rPr>
          <w:rFonts w:cs="Arial"/>
        </w:rPr>
        <w:t>(1) Es sind zu unterscheiden: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Abschlagsrechnungen und -zahlungen,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Teilschlussrechnungen und -zahlungen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Schlussrechnung und -zahlung.</w:t>
      </w:r>
    </w:p>
    <w:p w:rsidR="00F757A8" w:rsidRPr="004213D0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</w:rPr>
      </w:pPr>
    </w:p>
    <w:p w:rsidR="00F757A8" w:rsidRPr="004213D0" w:rsidRDefault="00F757A8" w:rsidP="00BA2D65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</w:pPr>
      <w:r w:rsidRPr="004213D0">
        <w:rPr>
          <w:rFonts w:cs="Arial"/>
        </w:rPr>
        <w:t>(2) Es ist darauf zu achten, dass Rechnungen vom Auftragnehmer prüfbar</w:t>
      </w:r>
      <w:r w:rsidRPr="004213D0">
        <w:t xml:space="preserve"> aufgestell</w:t>
      </w:r>
      <w:r w:rsidRPr="004213D0">
        <w:rPr>
          <w:rFonts w:cs="Arial"/>
        </w:rPr>
        <w:t>t und die in den Ve</w:t>
      </w:r>
      <w:r w:rsidRPr="004213D0">
        <w:rPr>
          <w:rFonts w:cs="Arial"/>
        </w:rPr>
        <w:t>r</w:t>
      </w:r>
      <w:r w:rsidRPr="004213D0">
        <w:rPr>
          <w:rFonts w:cs="Arial"/>
        </w:rPr>
        <w:t>tragsbestandteilen enthaltenen Bezeichnungen verwendet werden. Der Umfang von erbrachten Teillei</w:t>
      </w:r>
      <w:r w:rsidRPr="004213D0">
        <w:rPr>
          <w:rFonts w:cs="Arial"/>
        </w:rPr>
        <w:t>s</w:t>
      </w:r>
      <w:r w:rsidRPr="004213D0">
        <w:rPr>
          <w:rFonts w:cs="Arial"/>
        </w:rPr>
        <w:t>tungen ist nachzuweisen</w:t>
      </w:r>
      <w:r w:rsidRPr="004213D0">
        <w:t xml:space="preserve">. </w:t>
      </w:r>
      <w:r w:rsidRPr="004213D0">
        <w:rPr>
          <w:rFonts w:cs="Arial"/>
        </w:rPr>
        <w:t>Zum Nachweis gehören alle Berechnungen und Feststellungen, die für die E</w:t>
      </w:r>
      <w:r w:rsidRPr="004213D0">
        <w:rPr>
          <w:rFonts w:cs="Arial"/>
        </w:rPr>
        <w:t>r</w:t>
      </w:r>
      <w:r w:rsidRPr="004213D0">
        <w:rPr>
          <w:rFonts w:cs="Arial"/>
        </w:rPr>
        <w:t xml:space="preserve">mittlung der Höhe des Vergütungsanspruches des Auftragnehmers erforderlich sind. 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</w:pPr>
    </w:p>
    <w:p w:rsidR="00F757A8" w:rsidRDefault="00F757A8" w:rsidP="00BA2D65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</w:pPr>
      <w:r>
        <w:t>(3) Bei der Bearbeitung von Rechnungen und Zahlungen sind die jeweiligen haushaltsrechtlichen Besti</w:t>
      </w:r>
      <w:r>
        <w:t>m</w:t>
      </w:r>
      <w:r>
        <w:t>mungen zu beachten.</w:t>
      </w:r>
      <w:r w:rsidRPr="00302C06">
        <w:t xml:space="preserve"> </w:t>
      </w:r>
      <w:r>
        <w:t>Die Rechnungen sind mit den</w:t>
      </w:r>
      <w:r>
        <w:rPr>
          <w:rFonts w:cs="Arial"/>
        </w:rPr>
        <w:t xml:space="preserve"> erforderlichen Feststellungsbescheinigungen zu ve</w:t>
      </w:r>
      <w:r>
        <w:rPr>
          <w:rFonts w:cs="Arial"/>
        </w:rPr>
        <w:t>r</w:t>
      </w:r>
      <w:r>
        <w:rPr>
          <w:rFonts w:cs="Arial"/>
        </w:rPr>
        <w:t>sehen</w:t>
      </w:r>
      <w:r>
        <w:t>.</w:t>
      </w:r>
    </w:p>
    <w:p w:rsidR="00F757A8" w:rsidRPr="004213D0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</w:rPr>
      </w:pPr>
    </w:p>
    <w:p w:rsidR="00F757A8" w:rsidRDefault="00F757A8" w:rsidP="00BA2D65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rPr>
          <w:rFonts w:eastAsia="Arial" w:cs="Arial"/>
        </w:rPr>
      </w:pPr>
      <w:r>
        <w:rPr>
          <w:rFonts w:cs="Arial"/>
        </w:rPr>
        <w:t>(</w:t>
      </w:r>
      <w:r>
        <w:t>4</w:t>
      </w:r>
      <w:r>
        <w:rPr>
          <w:rFonts w:cs="Arial"/>
        </w:rPr>
        <w:t xml:space="preserve">) Die Rechnungen sind zügig zu prüfen. </w:t>
      </w:r>
      <w:r w:rsidRPr="00984133">
        <w:t>Es ist darauf zu achten</w:t>
      </w:r>
      <w:r>
        <w:t>, dass der Auftraggeber gem.</w:t>
      </w:r>
      <w:r w:rsidR="00661945">
        <w:t xml:space="preserve"> </w:t>
      </w:r>
      <w:r>
        <w:t>§ 286 Abs. 3 BGB spätestens dann in Verzug kommt, wenn er nicht innerhalb von 30 Tagen nach Fälli</w:t>
      </w:r>
      <w:r>
        <w:t>g</w:t>
      </w:r>
      <w:r>
        <w:t xml:space="preserve">keit und Zugang der Rechnung leistet. Die Fälligkeit des Anspruchs auf Schlusszahlung ergibt sich </w:t>
      </w:r>
      <w:r w:rsidRPr="008742FF">
        <w:t xml:space="preserve">aus </w:t>
      </w:r>
      <w:r w:rsidR="00E77AFF">
        <w:t>§ 650q Abs. 1 BGB i.</w:t>
      </w:r>
      <w:r w:rsidR="00E3325F">
        <w:t xml:space="preserve"> </w:t>
      </w:r>
      <w:r w:rsidR="00E77AFF">
        <w:t>V.</w:t>
      </w:r>
      <w:r w:rsidR="00E3325F">
        <w:t xml:space="preserve"> </w:t>
      </w:r>
      <w:r w:rsidR="00E77AFF">
        <w:t xml:space="preserve">m. </w:t>
      </w:r>
      <w:r w:rsidR="006A78E0" w:rsidRPr="006A78E0">
        <w:t>§</w:t>
      </w:r>
      <w:r w:rsidR="006A78E0">
        <w:t> </w:t>
      </w:r>
      <w:r w:rsidR="006A78E0" w:rsidRPr="006A78E0">
        <w:t>650</w:t>
      </w:r>
      <w:r w:rsidR="00E77AFF">
        <w:t>g</w:t>
      </w:r>
      <w:r w:rsidR="006A78E0" w:rsidRPr="006A78E0">
        <w:t xml:space="preserve"> Abs. 4 BGB </w:t>
      </w:r>
      <w:r w:rsidR="006A78E0">
        <w:t>i.</w:t>
      </w:r>
      <w:r w:rsidR="00E3325F">
        <w:t xml:space="preserve"> </w:t>
      </w:r>
      <w:r w:rsidR="006A78E0">
        <w:t>V.</w:t>
      </w:r>
      <w:r w:rsidR="00E3325F">
        <w:t xml:space="preserve"> </w:t>
      </w:r>
      <w:r w:rsidR="006A78E0">
        <w:t xml:space="preserve">m. </w:t>
      </w:r>
      <w:r w:rsidRPr="008742FF">
        <w:t>§ 10 Abs. 3 AVB F-StB.</w:t>
      </w:r>
      <w:r>
        <w:t xml:space="preserve"> Hat der Auftragnehmer seine fälligen Leistungen selbst noch nicht erbracht, kann der Auftraggeber gegenüber dem fälligen Zahlungsa</w:t>
      </w:r>
      <w:r>
        <w:t>n</w:t>
      </w:r>
      <w:r>
        <w:t>spruch ein Zurückbehaltungsrecht geltend machen.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40" w:lineRule="auto"/>
        <w:jc w:val="left"/>
        <w:rPr>
          <w:rFonts w:cs="Arial"/>
          <w:b/>
          <w:bCs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40" w:lineRule="auto"/>
        <w:jc w:val="left"/>
        <w:rPr>
          <w:rFonts w:eastAsia="Arial" w:cs="Arial"/>
        </w:rPr>
      </w:pPr>
      <w:r>
        <w:rPr>
          <w:rFonts w:cs="Arial"/>
          <w:b/>
          <w:bCs/>
        </w:rPr>
        <w:t>Behandeln der Rechnungen</w:t>
      </w:r>
    </w:p>
    <w:p w:rsidR="00F757A8" w:rsidRDefault="00F757A8" w:rsidP="00F757A8">
      <w:pPr>
        <w:pStyle w:val="Betrifft"/>
        <w:tabs>
          <w:tab w:val="left" w:pos="0"/>
          <w:tab w:val="left" w:pos="283"/>
          <w:tab w:val="left" w:pos="566"/>
          <w:tab w:val="left" w:pos="850"/>
          <w:tab w:val="left" w:pos="1133"/>
          <w:tab w:val="left" w:pos="1416"/>
          <w:tab w:val="left" w:pos="1699"/>
          <w:tab w:val="left" w:pos="1982"/>
          <w:tab w:val="left" w:pos="2266"/>
          <w:tab w:val="left" w:pos="2549"/>
          <w:tab w:val="left" w:pos="2832"/>
          <w:tab w:val="left" w:pos="3115"/>
          <w:tab w:val="left" w:pos="3398"/>
          <w:tab w:val="left" w:pos="3682"/>
          <w:tab w:val="left" w:pos="3965"/>
          <w:tab w:val="left" w:pos="4248"/>
          <w:tab w:val="left" w:pos="4531"/>
          <w:tab w:val="left" w:pos="4814"/>
          <w:tab w:val="left" w:pos="5098"/>
          <w:tab w:val="left" w:pos="5381"/>
          <w:tab w:val="left" w:pos="5664"/>
          <w:tab w:val="left" w:pos="5947"/>
          <w:tab w:val="left" w:pos="6230"/>
          <w:tab w:val="left" w:pos="6514"/>
          <w:tab w:val="left" w:pos="6797"/>
          <w:tab w:val="left" w:pos="7080"/>
          <w:tab w:val="left" w:pos="7363"/>
          <w:tab w:val="left" w:pos="7646"/>
          <w:tab w:val="left" w:pos="7930"/>
          <w:tab w:val="left" w:pos="8213"/>
          <w:tab w:val="left" w:pos="8496"/>
          <w:tab w:val="left" w:pos="8779"/>
          <w:tab w:val="left" w:pos="9062"/>
          <w:tab w:val="left" w:pos="9346"/>
          <w:tab w:val="left" w:pos="9629"/>
        </w:tabs>
        <w:spacing w:before="0"/>
        <w:rPr>
          <w:color w:val="000000"/>
          <w:sz w:val="20"/>
        </w:rPr>
      </w:pPr>
    </w:p>
    <w:p w:rsidR="00F757A8" w:rsidRPr="00AD5515" w:rsidRDefault="00F757A8" w:rsidP="00BA2D65">
      <w:pPr>
        <w:pStyle w:val="Betrifft"/>
        <w:tabs>
          <w:tab w:val="left" w:pos="0"/>
          <w:tab w:val="left" w:pos="283"/>
          <w:tab w:val="left" w:pos="566"/>
          <w:tab w:val="left" w:pos="850"/>
          <w:tab w:val="left" w:pos="1133"/>
          <w:tab w:val="left" w:pos="1416"/>
          <w:tab w:val="left" w:pos="1699"/>
          <w:tab w:val="left" w:pos="1982"/>
          <w:tab w:val="left" w:pos="2266"/>
          <w:tab w:val="left" w:pos="2549"/>
          <w:tab w:val="left" w:pos="2832"/>
          <w:tab w:val="left" w:pos="3115"/>
          <w:tab w:val="left" w:pos="3398"/>
          <w:tab w:val="left" w:pos="3682"/>
          <w:tab w:val="left" w:pos="3965"/>
          <w:tab w:val="left" w:pos="4248"/>
          <w:tab w:val="left" w:pos="4531"/>
          <w:tab w:val="left" w:pos="4814"/>
          <w:tab w:val="left" w:pos="5098"/>
          <w:tab w:val="left" w:pos="5381"/>
          <w:tab w:val="left" w:pos="5664"/>
          <w:tab w:val="left" w:pos="5947"/>
          <w:tab w:val="left" w:pos="6230"/>
          <w:tab w:val="left" w:pos="6514"/>
          <w:tab w:val="left" w:pos="6797"/>
          <w:tab w:val="left" w:pos="7080"/>
          <w:tab w:val="left" w:pos="7363"/>
          <w:tab w:val="left" w:pos="7646"/>
          <w:tab w:val="left" w:pos="7930"/>
          <w:tab w:val="left" w:pos="8213"/>
          <w:tab w:val="left" w:pos="8496"/>
          <w:tab w:val="left" w:pos="8779"/>
          <w:tab w:val="left" w:pos="9062"/>
          <w:tab w:val="left" w:pos="9346"/>
          <w:tab w:val="left" w:pos="9629"/>
        </w:tabs>
        <w:spacing w:before="0"/>
        <w:jc w:val="both"/>
        <w:rPr>
          <w:color w:val="000000"/>
          <w:sz w:val="20"/>
        </w:rPr>
      </w:pPr>
      <w:r w:rsidRPr="00AD5515">
        <w:rPr>
          <w:color w:val="000000"/>
          <w:sz w:val="20"/>
        </w:rPr>
        <w:t>(5</w:t>
      </w:r>
      <w:r>
        <w:rPr>
          <w:color w:val="000000"/>
          <w:sz w:val="20"/>
        </w:rPr>
        <w:t>)</w:t>
      </w:r>
      <w:r w:rsidRPr="00AD5515">
        <w:rPr>
          <w:color w:val="000000"/>
          <w:sz w:val="20"/>
        </w:rPr>
        <w:t xml:space="preserve"> Ist die Re</w:t>
      </w:r>
      <w:r w:rsidRPr="005E58E6">
        <w:rPr>
          <w:rFonts w:cs="Arial"/>
          <w:color w:val="000000"/>
          <w:sz w:val="20"/>
        </w:rPr>
        <w:t xml:space="preserve">chnung formal nicht prüffähig, ist sie an den Auftragnehmer unter Fristsetzung mit der Bitte um Überarbeitung zurück zu senden. Ist die </w:t>
      </w:r>
      <w:r w:rsidRPr="00AD5515">
        <w:rPr>
          <w:color w:val="000000"/>
          <w:sz w:val="20"/>
        </w:rPr>
        <w:t>R</w:t>
      </w:r>
      <w:r w:rsidRPr="005E58E6">
        <w:rPr>
          <w:rFonts w:cs="Arial"/>
          <w:color w:val="000000"/>
          <w:sz w:val="20"/>
        </w:rPr>
        <w:t>echnung inhaltlich nur teilweise prüffähig, ist dieser Teil a</w:t>
      </w:r>
      <w:r w:rsidRPr="005E58E6">
        <w:rPr>
          <w:rFonts w:cs="Arial"/>
          <w:color w:val="000000"/>
          <w:sz w:val="20"/>
        </w:rPr>
        <w:t>b</w:t>
      </w:r>
      <w:r w:rsidRPr="005E58E6">
        <w:rPr>
          <w:rFonts w:cs="Arial"/>
          <w:color w:val="000000"/>
          <w:sz w:val="20"/>
        </w:rPr>
        <w:t>schließend zu prüfen und der sich ggf. daraus ergebende Betrag auszuzahlen.</w:t>
      </w:r>
      <w:r w:rsidRPr="00AD5515">
        <w:rPr>
          <w:color w:val="000000"/>
          <w:sz w:val="20"/>
        </w:rPr>
        <w:t xml:space="preserve"> Bei Schlussrechnungen erfolgt die Auszahlung in Form einer Abschlagszahlung und der</w:t>
      </w:r>
      <w:r w:rsidRPr="005E58E6">
        <w:rPr>
          <w:rFonts w:cs="Arial"/>
          <w:color w:val="000000"/>
          <w:sz w:val="20"/>
        </w:rPr>
        <w:t xml:space="preserve"> inhaltlic</w:t>
      </w:r>
      <w:r w:rsidRPr="00AD5515">
        <w:rPr>
          <w:color w:val="000000"/>
          <w:sz w:val="20"/>
        </w:rPr>
        <w:t>h nicht prüfbare Teil ist dem Au</w:t>
      </w:r>
      <w:r w:rsidRPr="00AD5515">
        <w:rPr>
          <w:color w:val="000000"/>
          <w:sz w:val="20"/>
        </w:rPr>
        <w:t>f</w:t>
      </w:r>
      <w:r w:rsidRPr="00AD5515">
        <w:rPr>
          <w:color w:val="000000"/>
          <w:sz w:val="20"/>
        </w:rPr>
        <w:t>tragnehmer</w:t>
      </w:r>
      <w:r w:rsidRPr="005E58E6">
        <w:rPr>
          <w:rFonts w:cs="Arial"/>
          <w:color w:val="000000"/>
          <w:sz w:val="20"/>
        </w:rPr>
        <w:t xml:space="preserve"> mit Fristsetzung zur Überarbeitung zu übersenden.</w:t>
      </w:r>
    </w:p>
    <w:p w:rsidR="00F757A8" w:rsidRPr="005E58E6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color w:val="000000"/>
        </w:rPr>
      </w:pPr>
    </w:p>
    <w:p w:rsidR="00F757A8" w:rsidRPr="005E58E6" w:rsidRDefault="00F757A8" w:rsidP="00BA2D65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rPr>
          <w:rFonts w:eastAsia="Arial" w:cs="Arial"/>
          <w:color w:val="000000"/>
        </w:rPr>
      </w:pPr>
      <w:r w:rsidRPr="005E58E6">
        <w:rPr>
          <w:rFonts w:cs="Arial"/>
          <w:color w:val="000000"/>
        </w:rPr>
        <w:t>(6) Bei der Prüfung der Rechnung sind alle Bestandteile des Vertrages un</w:t>
      </w:r>
      <w:r w:rsidRPr="005E58E6">
        <w:rPr>
          <w:color w:val="000000"/>
        </w:rPr>
        <w:t>d die Ergebnisse der Vertrag</w:t>
      </w:r>
      <w:r w:rsidRPr="005E58E6">
        <w:rPr>
          <w:color w:val="000000"/>
        </w:rPr>
        <w:t>s</w:t>
      </w:r>
      <w:r w:rsidRPr="005E58E6">
        <w:rPr>
          <w:color w:val="000000"/>
        </w:rPr>
        <w:t>ab</w:t>
      </w:r>
      <w:r w:rsidRPr="005E58E6">
        <w:rPr>
          <w:rFonts w:cs="Arial"/>
          <w:color w:val="000000"/>
        </w:rPr>
        <w:t>wicklung zu berücksichtigen.</w:t>
      </w:r>
    </w:p>
    <w:p w:rsidR="00F757A8" w:rsidRPr="005E58E6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  <w:color w:val="000000"/>
        </w:rPr>
      </w:pPr>
      <w:r w:rsidRPr="005E58E6">
        <w:rPr>
          <w:rFonts w:eastAsia="Arial" w:cs="Arial"/>
          <w:color w:val="000000"/>
        </w:rPr>
        <w:t xml:space="preserve"> </w:t>
      </w:r>
    </w:p>
    <w:p w:rsidR="00F757A8" w:rsidRPr="00DF19E1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color w:val="000000"/>
        </w:rPr>
      </w:pPr>
      <w:r w:rsidRPr="00DF19E1">
        <w:rPr>
          <w:rFonts w:cs="Arial"/>
          <w:color w:val="000000"/>
        </w:rPr>
        <w:t>(7) Teilschlussrechnungen werden wie Schlussrechnungen behandelt.</w:t>
      </w:r>
    </w:p>
    <w:p w:rsidR="00F757A8" w:rsidRPr="00DF19E1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color w:val="000000"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</w:rPr>
      </w:pPr>
      <w:r>
        <w:rPr>
          <w:rFonts w:cs="Arial"/>
        </w:rPr>
        <w:t>(</w:t>
      </w:r>
      <w:r w:rsidRPr="00DF19E1">
        <w:rPr>
          <w:color w:val="000000"/>
        </w:rPr>
        <w:t>8</w:t>
      </w:r>
      <w:r>
        <w:rPr>
          <w:rFonts w:cs="Arial"/>
        </w:rPr>
        <w:t xml:space="preserve">) Rechnungen sind wie folgt zu behandeln: 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Eingangsstempel unverzüglich aufbringen</w:t>
      </w:r>
      <w:r w:rsidR="00661945">
        <w:rPr>
          <w:rFonts w:eastAsia="Times New Roman" w:cs="Arial"/>
          <w:sz w:val="20"/>
          <w:szCs w:val="20"/>
          <w:lang w:eastAsia="de-DE"/>
        </w:rPr>
        <w:t>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Mehrausfertigungen mittels Durchkreuzen oder Stempelaufdruck kennzeichnen</w:t>
      </w:r>
      <w:r w:rsidR="00661945">
        <w:rPr>
          <w:rFonts w:eastAsia="Times New Roman" w:cs="Arial"/>
          <w:sz w:val="20"/>
          <w:szCs w:val="20"/>
          <w:lang w:eastAsia="de-DE"/>
        </w:rPr>
        <w:t>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Durchsicht der Rechnungen auf Vollständigkeit und Prüffähigkeit.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t xml:space="preserve">(9) </w:t>
      </w:r>
      <w:r>
        <w:rPr>
          <w:rFonts w:cs="Arial"/>
        </w:rPr>
        <w:t>Rechnungen sind formal daraufhin durchzusehen, ob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Kennzeichnung als Abschlags-, Schluss- oder Teilschlussrechnung vorhanden ist,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Abschlags- bzw. Teilschlussrechnungen richtig nummeriert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vereinbarte Mehrausfertigungen und Anlagen beigefügt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Teilleistungen wie im Vertrag bezeichnet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alle bisherigen Abschlagszahlungen einzeln mit Ausweis der Umsatzsteuerbeträge aufgeführt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erforderlichen Belege vorliegen.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t>(10)</w:t>
      </w:r>
      <w:r>
        <w:rPr>
          <w:rFonts w:cs="Arial"/>
        </w:rPr>
        <w:t xml:space="preserve"> Hinsichtlich der Übereinstimmung mit </w:t>
      </w:r>
      <w:r w:rsidRPr="000F6ECB">
        <w:rPr>
          <w:rFonts w:cs="Arial"/>
        </w:rPr>
        <w:t>dem Vertrag</w:t>
      </w:r>
      <w:r>
        <w:rPr>
          <w:rFonts w:cs="Arial"/>
        </w:rPr>
        <w:t xml:space="preserve"> ist zu prüfen, ob 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jc w:val="both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Rechnung nur Leistungen des Vertrages enthält (</w:t>
      </w:r>
      <w:r w:rsidR="00E3325F">
        <w:rPr>
          <w:rFonts w:eastAsia="Times New Roman" w:cs="Arial"/>
          <w:sz w:val="20"/>
          <w:szCs w:val="20"/>
          <w:lang w:eastAsia="de-DE"/>
        </w:rPr>
        <w:t xml:space="preserve">einschließlich vereinbarter </w:t>
      </w:r>
      <w:r w:rsidRPr="00661945">
        <w:rPr>
          <w:rFonts w:eastAsia="Times New Roman" w:cs="Arial"/>
          <w:sz w:val="20"/>
          <w:szCs w:val="20"/>
          <w:lang w:eastAsia="de-DE"/>
        </w:rPr>
        <w:t>Vertragsänderu</w:t>
      </w:r>
      <w:r w:rsidRPr="00661945">
        <w:rPr>
          <w:rFonts w:eastAsia="Times New Roman" w:cs="Arial"/>
          <w:sz w:val="20"/>
          <w:szCs w:val="20"/>
          <w:lang w:eastAsia="de-DE"/>
        </w:rPr>
        <w:t>n</w:t>
      </w:r>
      <w:r w:rsidRPr="00661945">
        <w:rPr>
          <w:rFonts w:eastAsia="Times New Roman" w:cs="Arial"/>
          <w:sz w:val="20"/>
          <w:szCs w:val="20"/>
          <w:lang w:eastAsia="de-DE"/>
        </w:rPr>
        <w:t>gen/Nachträge),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jc w:val="both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aufgeführten Teilleistungen einschließlich Nebenleistungen entsprechend den Inhalten des Ve</w:t>
      </w:r>
      <w:r w:rsidRPr="00661945">
        <w:rPr>
          <w:rFonts w:eastAsia="Times New Roman" w:cs="Arial"/>
          <w:sz w:val="20"/>
          <w:szCs w:val="20"/>
          <w:lang w:eastAsia="de-DE"/>
        </w:rPr>
        <w:t>r</w:t>
      </w:r>
      <w:r w:rsidRPr="00661945">
        <w:rPr>
          <w:rFonts w:eastAsia="Times New Roman" w:cs="Arial"/>
          <w:sz w:val="20"/>
          <w:szCs w:val="20"/>
          <w:lang w:eastAsia="de-DE"/>
        </w:rPr>
        <w:t>trages vollständig erbracht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jc w:val="both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für bestimmte Teilleistungen neue Preise vereinbart werden müssen (z.</w:t>
      </w:r>
      <w:r w:rsidR="00E3325F">
        <w:rPr>
          <w:rFonts w:eastAsia="Times New Roman" w:cs="Arial"/>
          <w:sz w:val="20"/>
          <w:szCs w:val="20"/>
          <w:lang w:eastAsia="de-DE"/>
        </w:rPr>
        <w:t xml:space="preserve"> </w:t>
      </w:r>
      <w:r w:rsidRPr="00661945">
        <w:rPr>
          <w:rFonts w:eastAsia="Times New Roman" w:cs="Arial"/>
          <w:sz w:val="20"/>
          <w:szCs w:val="20"/>
          <w:lang w:eastAsia="de-DE"/>
        </w:rPr>
        <w:t>B. bei Wechsel der Honora</w:t>
      </w:r>
      <w:r w:rsidRPr="00661945">
        <w:rPr>
          <w:rFonts w:eastAsia="Times New Roman" w:cs="Arial"/>
          <w:sz w:val="20"/>
          <w:szCs w:val="20"/>
          <w:lang w:eastAsia="de-DE"/>
        </w:rPr>
        <w:t>r</w:t>
      </w:r>
      <w:r w:rsidRPr="00661945">
        <w:rPr>
          <w:rFonts w:eastAsia="Times New Roman" w:cs="Arial"/>
          <w:sz w:val="20"/>
          <w:szCs w:val="20"/>
          <w:lang w:eastAsia="de-DE"/>
        </w:rPr>
        <w:t>zone gem. HOAI),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lastRenderedPageBreak/>
        <w:t>für die aufgeführte Teilleistung oder Teile davon die Ersatzpflicht eines Dritten in Frage kommt,</w:t>
      </w:r>
    </w:p>
    <w:p w:rsidR="00F757A8" w:rsidRPr="00661945" w:rsidRDefault="00F757A8" w:rsidP="00470024">
      <w:pPr>
        <w:pStyle w:val="Listenabsatz"/>
        <w:numPr>
          <w:ilvl w:val="0"/>
          <w:numId w:val="36"/>
        </w:num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ind w:left="357" w:hanging="357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Ausführungsfristen überschritten sind.</w:t>
      </w:r>
    </w:p>
    <w:p w:rsidR="0073642C" w:rsidRDefault="0073642C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t>(11)</w:t>
      </w:r>
      <w:r>
        <w:rPr>
          <w:rFonts w:cs="Arial"/>
        </w:rPr>
        <w:t xml:space="preserve"> Bezüglich </w:t>
      </w:r>
      <w:r>
        <w:t>der</w:t>
      </w:r>
      <w:r>
        <w:rPr>
          <w:rFonts w:cs="Arial"/>
        </w:rPr>
        <w:t xml:space="preserve"> Zahlenangaben ist zu prüfen bzw. nachzurechnen, ob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verlangten Preise mit den vertraglich vereinbarten übereinstimmen,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die Gesamtbeträge und die Rechnungssumme richtig berechnet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gegebenenfalls vereinbarte Preisnachlässe und Skonti richtig berechnet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 xml:space="preserve">Bonus- oder </w:t>
      </w:r>
      <w:proofErr w:type="spellStart"/>
      <w:r w:rsidRPr="00661945">
        <w:rPr>
          <w:rFonts w:eastAsia="Times New Roman" w:cs="Arial"/>
          <w:sz w:val="20"/>
          <w:szCs w:val="20"/>
          <w:lang w:eastAsia="de-DE"/>
        </w:rPr>
        <w:t>Malusregelungen</w:t>
      </w:r>
      <w:proofErr w:type="spellEnd"/>
      <w:r w:rsidRPr="00661945">
        <w:rPr>
          <w:rFonts w:eastAsia="Times New Roman" w:cs="Arial"/>
          <w:sz w:val="20"/>
          <w:szCs w:val="20"/>
          <w:lang w:eastAsia="de-DE"/>
        </w:rPr>
        <w:t xml:space="preserve"> richtig berechnet sind,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 xml:space="preserve">die Umsatzsteuer richtig berechnet ist, </w:t>
      </w:r>
    </w:p>
    <w:p w:rsidR="00F757A8" w:rsidRPr="00661945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661945">
        <w:rPr>
          <w:rFonts w:eastAsia="Times New Roman" w:cs="Arial"/>
          <w:sz w:val="20"/>
          <w:szCs w:val="20"/>
          <w:lang w:eastAsia="de-DE"/>
        </w:rPr>
        <w:t>alle Abschlagszahlungen richtig aufgeführt und vom Rechnungsbetrag richtig abgesetzt sind.</w:t>
      </w:r>
    </w:p>
    <w:p w:rsidR="00F757A8" w:rsidRPr="00DA3034" w:rsidRDefault="00F757A8" w:rsidP="00DA3034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rPr>
          <w:rFonts w:cs="Arial"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t>(12)</w:t>
      </w:r>
      <w:r>
        <w:rPr>
          <w:rFonts w:cs="Arial"/>
        </w:rPr>
        <w:t xml:space="preserve"> Es ist zu prüfen, ob Abzüge oder Einbehalte vorzunehmen sind, insbesondere</w:t>
      </w:r>
    </w:p>
    <w:p w:rsidR="00F757A8" w:rsidRPr="00DA3034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DA3034">
        <w:rPr>
          <w:rFonts w:eastAsia="Times New Roman" w:cs="Arial"/>
          <w:sz w:val="20"/>
          <w:szCs w:val="20"/>
          <w:lang w:eastAsia="de-DE"/>
        </w:rPr>
        <w:t>Zurückbehaltung der Vergütung wegen ausstehender Nachweise erfolgen muss,</w:t>
      </w:r>
    </w:p>
    <w:p w:rsidR="00F757A8" w:rsidRPr="00DA3034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DA3034">
        <w:rPr>
          <w:rFonts w:eastAsia="Times New Roman" w:cs="Arial"/>
          <w:sz w:val="20"/>
          <w:szCs w:val="20"/>
          <w:lang w:eastAsia="de-DE"/>
        </w:rPr>
        <w:t>Gegenforderungen des Auftraggebers zu berücksichtigen sind,</w:t>
      </w:r>
    </w:p>
    <w:p w:rsidR="00F757A8" w:rsidRPr="00DA3034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DA3034">
        <w:rPr>
          <w:rFonts w:eastAsia="Times New Roman" w:cs="Arial"/>
          <w:sz w:val="20"/>
          <w:szCs w:val="20"/>
          <w:lang w:eastAsia="de-DE"/>
        </w:rPr>
        <w:t>Minderung, Vertragsstrafen und Schadensersatzbeträge oder</w:t>
      </w:r>
    </w:p>
    <w:p w:rsidR="00F757A8" w:rsidRPr="00DA3034" w:rsidRDefault="00F757A8" w:rsidP="00BA2D65">
      <w:pPr>
        <w:pStyle w:val="Listenabsatz"/>
        <w:numPr>
          <w:ilvl w:val="0"/>
          <w:numId w:val="36"/>
        </w:numPr>
        <w:tabs>
          <w:tab w:val="left" w:pos="0"/>
          <w:tab w:val="right" w:leader="dot" w:pos="9498"/>
          <w:tab w:val="left" w:pos="9526"/>
        </w:tabs>
        <w:spacing w:line="200" w:lineRule="atLeast"/>
        <w:ind w:left="426" w:hanging="426"/>
        <w:rPr>
          <w:rFonts w:eastAsia="Times New Roman" w:cs="Arial"/>
          <w:sz w:val="20"/>
          <w:szCs w:val="20"/>
          <w:lang w:eastAsia="de-DE"/>
        </w:rPr>
      </w:pPr>
      <w:r w:rsidRPr="00DA3034">
        <w:rPr>
          <w:rFonts w:eastAsia="Times New Roman" w:cs="Arial"/>
          <w:sz w:val="20"/>
          <w:szCs w:val="20"/>
          <w:lang w:eastAsia="de-DE"/>
        </w:rPr>
        <w:t>Einbehalte wegen Mängelbeseitigungskosten in Abzug zu bringen sind.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</w:p>
    <w:p w:rsidR="00BA2D65" w:rsidRDefault="00BA2D65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>
        <w:rPr>
          <w:rFonts w:cs="Arial"/>
          <w:b/>
          <w:bCs/>
        </w:rPr>
        <w:t>Unterlagen für die Rechnungslegung</w:t>
      </w:r>
    </w:p>
    <w:p w:rsidR="00F757A8" w:rsidRPr="00DF19E1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cs="Arial"/>
          <w:color w:val="000000"/>
        </w:rPr>
      </w:pPr>
      <w:r>
        <w:rPr>
          <w:rFonts w:eastAsia="Arial" w:cs="Arial"/>
        </w:rPr>
        <w:t xml:space="preserve"> </w:t>
      </w:r>
    </w:p>
    <w:p w:rsidR="00F757A8" w:rsidRDefault="00F757A8" w:rsidP="00F757A8">
      <w:pPr>
        <w:tabs>
          <w:tab w:val="left" w:pos="0"/>
          <w:tab w:val="left" w:pos="708"/>
          <w:tab w:val="right" w:leader="dot" w:pos="9498"/>
          <w:tab w:val="left" w:pos="9526"/>
        </w:tabs>
        <w:spacing w:line="200" w:lineRule="atLeast"/>
        <w:jc w:val="left"/>
        <w:rPr>
          <w:rFonts w:eastAsia="Arial" w:cs="Arial"/>
        </w:rPr>
      </w:pPr>
      <w:r w:rsidRPr="00DF19E1">
        <w:rPr>
          <w:rFonts w:cs="Arial"/>
          <w:color w:val="000000"/>
        </w:rPr>
        <w:t>(13) Unterlagen für die Rechnungslegung sind alle Unterlagen, die für die Rechnungsprüfung als Nachweis für</w:t>
      </w:r>
      <w:r>
        <w:rPr>
          <w:rFonts w:cs="Arial"/>
        </w:rPr>
        <w:t xml:space="preserve"> die ordnungsgemäße Haushalts- und Wirtschaftsführung benötigt werden. Sie sind begründende Unter-lagen im Sinne der jeweils geltenden Haushaltsordnungen und als solche zu behandeln sowie sicher und geordnet aufzubewahren.</w:t>
      </w:r>
    </w:p>
    <w:sectPr w:rsidR="00F757A8" w:rsidSect="008564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055" w:right="737" w:bottom="1418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E1" w:rsidRDefault="005A48E1">
      <w:pPr>
        <w:spacing w:line="240" w:lineRule="auto"/>
      </w:pPr>
      <w:r>
        <w:separator/>
      </w:r>
    </w:p>
  </w:endnote>
  <w:endnote w:type="continuationSeparator" w:id="0">
    <w:p w:rsidR="005A48E1" w:rsidRDefault="005A4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5C" w:rsidRDefault="00D14D5C" w:rsidP="00BA2D65">
    <w:pPr>
      <w:pStyle w:val="Fuzeile"/>
      <w:pBdr>
        <w:top w:val="single" w:sz="4" w:space="1" w:color="auto"/>
      </w:pBdr>
      <w:tabs>
        <w:tab w:val="clear" w:pos="9072"/>
        <w:tab w:val="right" w:pos="9498"/>
      </w:tabs>
      <w:rPr>
        <w:sz w:val="10"/>
      </w:rPr>
    </w:pPr>
  </w:p>
  <w:p w:rsidR="00D14D5C" w:rsidRPr="00D14D5C" w:rsidRDefault="00BA2D65" w:rsidP="00BA2D65">
    <w:pPr>
      <w:pStyle w:val="Fuzeile"/>
      <w:tabs>
        <w:tab w:val="clear" w:pos="4536"/>
        <w:tab w:val="clear" w:pos="9072"/>
        <w:tab w:val="center" w:pos="4820"/>
        <w:tab w:val="right" w:pos="9498"/>
      </w:tabs>
    </w:pPr>
    <w:r>
      <w:t>3.7 – Seite 2</w:t>
    </w:r>
    <w:r w:rsidR="00D14D5C">
      <w:tab/>
    </w:r>
    <w:r w:rsidR="000E2B3B">
      <w:t>30</w:t>
    </w:r>
    <w:r w:rsidR="00C16061">
      <w:t>7</w:t>
    </w:r>
    <w:r w:rsidR="000E2B3B">
      <w:t>01</w:t>
    </w:r>
    <w:r w:rsidR="00D14D5C">
      <w:tab/>
    </w:r>
    <w:r>
      <w:t xml:space="preserve">Stand: </w:t>
    </w:r>
    <w:r w:rsidR="00E77AFF">
      <w:t>0</w:t>
    </w:r>
    <w:r>
      <w:t>1-1</w:t>
    </w:r>
    <w:r w:rsidR="00E77AFF"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3A" w:rsidRDefault="0040673A">
    <w:pPr>
      <w:pStyle w:val="Fuzeile"/>
      <w:pBdr>
        <w:bottom w:val="single" w:sz="6" w:space="1" w:color="auto"/>
      </w:pBdr>
    </w:pPr>
  </w:p>
  <w:p w:rsidR="0040673A" w:rsidRPr="00BA2D65" w:rsidRDefault="0040673A">
    <w:pPr>
      <w:pStyle w:val="Fuzeile"/>
      <w:rPr>
        <w:sz w:val="10"/>
        <w:szCs w:val="10"/>
      </w:rPr>
    </w:pPr>
  </w:p>
  <w:p w:rsidR="003C03B6" w:rsidRDefault="003C03B6">
    <w:pPr>
      <w:pStyle w:val="Fuzeile"/>
    </w:pPr>
    <w:r>
      <w:t xml:space="preserve">Stand: </w:t>
    </w:r>
    <w:r w:rsidR="00E77AFF">
      <w:t>0</w:t>
    </w:r>
    <w:r>
      <w:t>1-</w:t>
    </w:r>
    <w:r w:rsidR="008564AE">
      <w:t>21</w:t>
    </w:r>
    <w:r>
      <w:ptab w:relativeTo="margin" w:alignment="center" w:leader="none"/>
    </w:r>
    <w:r>
      <w:t>30</w:t>
    </w:r>
    <w:r w:rsidR="00C16061">
      <w:t>7</w:t>
    </w:r>
    <w:r>
      <w:t>01</w:t>
    </w:r>
    <w:r>
      <w:ptab w:relativeTo="margin" w:alignment="right" w:leader="none"/>
    </w:r>
    <w:r>
      <w:t>3.</w:t>
    </w:r>
    <w:r w:rsidR="00C16061">
      <w:t>7</w:t>
    </w:r>
    <w:r w:rsidR="009F545F">
      <w:t xml:space="preserve"> – </w:t>
    </w:r>
    <w:r>
      <w:t>Seite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4B8" w:rsidRDefault="003D04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E1" w:rsidRDefault="005A48E1">
      <w:pPr>
        <w:spacing w:line="240" w:lineRule="auto"/>
      </w:pPr>
      <w:r>
        <w:separator/>
      </w:r>
    </w:p>
  </w:footnote>
  <w:footnote w:type="continuationSeparator" w:id="0">
    <w:p w:rsidR="005A48E1" w:rsidRDefault="005A48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65" w:rsidRDefault="00BA2D65" w:rsidP="00BA2D65">
    <w:pPr>
      <w:pStyle w:val="Kopfzeile"/>
      <w:pBdr>
        <w:bottom w:val="single" w:sz="4" w:space="1" w:color="auto"/>
      </w:pBdr>
      <w:jc w:val="right"/>
      <w:rPr>
        <w:b/>
        <w:sz w:val="24"/>
        <w:szCs w:val="24"/>
      </w:rPr>
    </w:pPr>
    <w:r w:rsidRPr="003C03B6">
      <w:rPr>
        <w:b/>
        <w:sz w:val="24"/>
        <w:szCs w:val="24"/>
      </w:rPr>
      <w:t>3.</w:t>
    </w:r>
    <w:r>
      <w:rPr>
        <w:b/>
        <w:sz w:val="24"/>
        <w:szCs w:val="24"/>
      </w:rPr>
      <w:t>7</w:t>
    </w:r>
    <w:r w:rsidRPr="003C03B6">
      <w:rPr>
        <w:b/>
        <w:sz w:val="24"/>
        <w:szCs w:val="24"/>
      </w:rPr>
      <w:t xml:space="preserve"> </w:t>
    </w:r>
    <w:r>
      <w:rPr>
        <w:b/>
        <w:sz w:val="24"/>
        <w:szCs w:val="24"/>
      </w:rPr>
      <w:t>Rechnungen und</w:t>
    </w:r>
    <w:r w:rsidRPr="003C03B6">
      <w:rPr>
        <w:b/>
        <w:sz w:val="24"/>
        <w:szCs w:val="24"/>
      </w:rPr>
      <w:ptab w:relativeTo="margin" w:alignment="center" w:leader="none"/>
    </w:r>
    <w:r w:rsidRPr="003C03B6">
      <w:rPr>
        <w:b/>
        <w:sz w:val="24"/>
        <w:szCs w:val="24"/>
      </w:rPr>
      <w:t>3 Vertragsabwicklung</w:t>
    </w:r>
    <w:r w:rsidRPr="003C03B6">
      <w:rPr>
        <w:b/>
        <w:sz w:val="24"/>
        <w:szCs w:val="24"/>
      </w:rPr>
      <w:ptab w:relativeTo="margin" w:alignment="right" w:leader="none"/>
    </w:r>
    <w:r w:rsidRPr="003C03B6">
      <w:rPr>
        <w:b/>
        <w:sz w:val="24"/>
        <w:szCs w:val="24"/>
      </w:rPr>
      <w:t xml:space="preserve"> HVA F-StB</w:t>
    </w:r>
  </w:p>
  <w:p w:rsidR="00BA2D65" w:rsidRDefault="00BA2D65" w:rsidP="00BA2D65">
    <w:pPr>
      <w:pStyle w:val="Kopfzeile"/>
      <w:pBdr>
        <w:bottom w:val="single" w:sz="4" w:space="1" w:color="auto"/>
      </w:pBdr>
      <w:jc w:val="left"/>
      <w:rPr>
        <w:b/>
        <w:sz w:val="24"/>
        <w:szCs w:val="24"/>
      </w:rPr>
    </w:pPr>
    <w:r>
      <w:rPr>
        <w:b/>
        <w:sz w:val="24"/>
        <w:szCs w:val="24"/>
      </w:rPr>
      <w:t>Zahlungen</w:t>
    </w:r>
  </w:p>
  <w:p w:rsidR="00BA2D65" w:rsidRPr="003C03B6" w:rsidRDefault="00BA2D65" w:rsidP="00BA2D65">
    <w:pPr>
      <w:pStyle w:val="Kopfzeile"/>
      <w:jc w:val="center"/>
    </w:pPr>
  </w:p>
  <w:p w:rsidR="00542E75" w:rsidRPr="00BA2D65" w:rsidRDefault="00542E75" w:rsidP="00BA2D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3B6" w:rsidRDefault="003C03B6" w:rsidP="00BA2D65">
    <w:pPr>
      <w:pStyle w:val="Kopfzeile"/>
      <w:pBdr>
        <w:bottom w:val="single" w:sz="4" w:space="1" w:color="auto"/>
      </w:pBdr>
      <w:jc w:val="right"/>
      <w:rPr>
        <w:b/>
        <w:sz w:val="24"/>
        <w:szCs w:val="24"/>
      </w:rPr>
    </w:pPr>
    <w:r w:rsidRPr="003C03B6">
      <w:rPr>
        <w:b/>
        <w:sz w:val="24"/>
        <w:szCs w:val="24"/>
      </w:rPr>
      <w:t>HVA F-</w:t>
    </w:r>
    <w:proofErr w:type="spellStart"/>
    <w:r w:rsidRPr="003C03B6">
      <w:rPr>
        <w:b/>
        <w:sz w:val="24"/>
        <w:szCs w:val="24"/>
      </w:rPr>
      <w:t>StB</w:t>
    </w:r>
    <w:proofErr w:type="spellEnd"/>
    <w:r w:rsidRPr="003C03B6">
      <w:rPr>
        <w:b/>
        <w:sz w:val="24"/>
        <w:szCs w:val="24"/>
      </w:rPr>
      <w:ptab w:relativeTo="margin" w:alignment="center" w:leader="none"/>
    </w:r>
    <w:r w:rsidRPr="003C03B6">
      <w:rPr>
        <w:b/>
        <w:sz w:val="24"/>
        <w:szCs w:val="24"/>
      </w:rPr>
      <w:t>3 Vertragsabwicklung</w:t>
    </w:r>
    <w:r w:rsidRPr="003C03B6">
      <w:rPr>
        <w:b/>
        <w:sz w:val="24"/>
        <w:szCs w:val="24"/>
      </w:rPr>
      <w:ptab w:relativeTo="margin" w:alignment="right" w:leader="none"/>
    </w:r>
    <w:r w:rsidRPr="003C03B6">
      <w:rPr>
        <w:b/>
        <w:sz w:val="24"/>
        <w:szCs w:val="24"/>
      </w:rPr>
      <w:t>3.</w:t>
    </w:r>
    <w:r w:rsidR="00C16061">
      <w:rPr>
        <w:b/>
        <w:sz w:val="24"/>
        <w:szCs w:val="24"/>
      </w:rPr>
      <w:t>7</w:t>
    </w:r>
    <w:r w:rsidRPr="003C03B6">
      <w:rPr>
        <w:b/>
        <w:sz w:val="24"/>
        <w:szCs w:val="24"/>
      </w:rPr>
      <w:t xml:space="preserve"> </w:t>
    </w:r>
    <w:r w:rsidR="00C16061">
      <w:rPr>
        <w:b/>
        <w:sz w:val="24"/>
        <w:szCs w:val="24"/>
      </w:rPr>
      <w:t>Rechnungen und</w:t>
    </w:r>
    <w:r w:rsidR="00C16061">
      <w:rPr>
        <w:b/>
        <w:sz w:val="24"/>
        <w:szCs w:val="24"/>
      </w:rPr>
      <w:br/>
      <w:t>Zahlungen</w:t>
    </w:r>
  </w:p>
  <w:p w:rsidR="003D04B8" w:rsidRPr="00470024" w:rsidRDefault="003D04B8" w:rsidP="00BA2D65">
    <w:pPr>
      <w:pStyle w:val="Kopfzeile"/>
      <w:pBdr>
        <w:bottom w:val="single" w:sz="4" w:space="1" w:color="auto"/>
      </w:pBdr>
      <w:jc w:val="right"/>
      <w:rPr>
        <w:b/>
        <w:szCs w:val="24"/>
      </w:rPr>
    </w:pPr>
  </w:p>
  <w:p w:rsidR="00BA2D65" w:rsidRPr="003C03B6" w:rsidRDefault="00BA2D65" w:rsidP="00BA2D65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4B8" w:rsidRDefault="003D04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6C8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D25BE9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2">
    <w:nsid w:val="0DE94D3D"/>
    <w:multiLevelType w:val="hybridMultilevel"/>
    <w:tmpl w:val="A686F9D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F6847E1"/>
    <w:multiLevelType w:val="hybridMultilevel"/>
    <w:tmpl w:val="6F7681A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C94DC1"/>
    <w:multiLevelType w:val="hybridMultilevel"/>
    <w:tmpl w:val="42B213C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1471759E"/>
    <w:multiLevelType w:val="multilevel"/>
    <w:tmpl w:val="E3A83A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</w:abstractNum>
  <w:abstractNum w:abstractNumId="6">
    <w:nsid w:val="15AA3EEF"/>
    <w:multiLevelType w:val="hybridMultilevel"/>
    <w:tmpl w:val="0EE4A45E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F16193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8">
    <w:nsid w:val="169053C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9">
    <w:nsid w:val="17CD4E86"/>
    <w:multiLevelType w:val="hybridMultilevel"/>
    <w:tmpl w:val="4780455C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B53A2B"/>
    <w:multiLevelType w:val="hybridMultilevel"/>
    <w:tmpl w:val="91305F16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9B30B3"/>
    <w:multiLevelType w:val="hybridMultilevel"/>
    <w:tmpl w:val="4BDA7E22"/>
    <w:lvl w:ilvl="0" w:tplc="73E212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C5907"/>
    <w:multiLevelType w:val="singleLevel"/>
    <w:tmpl w:val="66B2149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F331F66"/>
    <w:multiLevelType w:val="hybridMultilevel"/>
    <w:tmpl w:val="9F1A19FA"/>
    <w:lvl w:ilvl="0" w:tplc="6E983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30B5D"/>
    <w:multiLevelType w:val="hybridMultilevel"/>
    <w:tmpl w:val="3C0ADC9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5">
    <w:nsid w:val="25376912"/>
    <w:multiLevelType w:val="singleLevel"/>
    <w:tmpl w:val="32F4025A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16">
    <w:nsid w:val="393E48DF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7">
    <w:nsid w:val="3A0342BB"/>
    <w:multiLevelType w:val="hybridMultilevel"/>
    <w:tmpl w:val="89EA81E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E06905"/>
    <w:multiLevelType w:val="hybridMultilevel"/>
    <w:tmpl w:val="93D4C13C"/>
    <w:lvl w:ilvl="0" w:tplc="48E2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6A7939"/>
    <w:multiLevelType w:val="hybridMultilevel"/>
    <w:tmpl w:val="D67A9552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7C3444">
      <w:numFmt w:val="bullet"/>
      <w:lvlText w:val="–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255E5"/>
    <w:multiLevelType w:val="hybridMultilevel"/>
    <w:tmpl w:val="EF1CAFE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3EDB1BC2"/>
    <w:multiLevelType w:val="hybridMultilevel"/>
    <w:tmpl w:val="1B167E2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42E6442F"/>
    <w:multiLevelType w:val="hybridMultilevel"/>
    <w:tmpl w:val="1D8CCFA6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611CEB"/>
    <w:multiLevelType w:val="hybridMultilevel"/>
    <w:tmpl w:val="17FEF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06B0E"/>
    <w:multiLevelType w:val="hybridMultilevel"/>
    <w:tmpl w:val="A150009A"/>
    <w:lvl w:ilvl="0" w:tplc="4118964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5">
    <w:nsid w:val="46BB484D"/>
    <w:multiLevelType w:val="singleLevel"/>
    <w:tmpl w:val="D55CE6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507E4A4C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0DB3ACF"/>
    <w:multiLevelType w:val="hybridMultilevel"/>
    <w:tmpl w:val="77F444C2"/>
    <w:lvl w:ilvl="0" w:tplc="FB0C983A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D0FE5"/>
    <w:multiLevelType w:val="hybridMultilevel"/>
    <w:tmpl w:val="10C835C4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D31A15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0">
    <w:nsid w:val="63450E2C"/>
    <w:multiLevelType w:val="hybridMultilevel"/>
    <w:tmpl w:val="A0A2DF9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>
    <w:nsid w:val="637A17C3"/>
    <w:multiLevelType w:val="hybridMultilevel"/>
    <w:tmpl w:val="B5A4C5A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2">
    <w:nsid w:val="66A10A9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3">
    <w:nsid w:val="6CE55092"/>
    <w:multiLevelType w:val="singleLevel"/>
    <w:tmpl w:val="93DCD0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>
    <w:nsid w:val="6F793326"/>
    <w:multiLevelType w:val="singleLevel"/>
    <w:tmpl w:val="D8802FFE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78E40FF3"/>
    <w:multiLevelType w:val="singleLevel"/>
    <w:tmpl w:val="0407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99C27BD"/>
    <w:multiLevelType w:val="hybridMultilevel"/>
    <w:tmpl w:val="89528590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D47686"/>
    <w:multiLevelType w:val="hybridMultilevel"/>
    <w:tmpl w:val="41642086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4A23D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387DE8"/>
    <w:multiLevelType w:val="hybridMultilevel"/>
    <w:tmpl w:val="FBC2FC44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26"/>
  </w:num>
  <w:num w:numId="5">
    <w:abstractNumId w:val="1"/>
  </w:num>
  <w:num w:numId="6">
    <w:abstractNumId w:val="15"/>
  </w:num>
  <w:num w:numId="7">
    <w:abstractNumId w:val="12"/>
  </w:num>
  <w:num w:numId="8">
    <w:abstractNumId w:val="25"/>
  </w:num>
  <w:num w:numId="9">
    <w:abstractNumId w:val="33"/>
  </w:num>
  <w:num w:numId="10">
    <w:abstractNumId w:val="16"/>
  </w:num>
  <w:num w:numId="11">
    <w:abstractNumId w:val="32"/>
  </w:num>
  <w:num w:numId="12">
    <w:abstractNumId w:val="7"/>
  </w:num>
  <w:num w:numId="13">
    <w:abstractNumId w:val="8"/>
  </w:num>
  <w:num w:numId="14">
    <w:abstractNumId w:val="29"/>
  </w:num>
  <w:num w:numId="15">
    <w:abstractNumId w:val="14"/>
  </w:num>
  <w:num w:numId="16">
    <w:abstractNumId w:val="24"/>
  </w:num>
  <w:num w:numId="17">
    <w:abstractNumId w:val="20"/>
  </w:num>
  <w:num w:numId="18">
    <w:abstractNumId w:val="21"/>
  </w:num>
  <w:num w:numId="19">
    <w:abstractNumId w:val="31"/>
  </w:num>
  <w:num w:numId="20">
    <w:abstractNumId w:val="30"/>
  </w:num>
  <w:num w:numId="21">
    <w:abstractNumId w:val="2"/>
  </w:num>
  <w:num w:numId="22">
    <w:abstractNumId w:val="4"/>
  </w:num>
  <w:num w:numId="23">
    <w:abstractNumId w:val="38"/>
  </w:num>
  <w:num w:numId="24">
    <w:abstractNumId w:val="17"/>
  </w:num>
  <w:num w:numId="25">
    <w:abstractNumId w:val="3"/>
  </w:num>
  <w:num w:numId="26">
    <w:abstractNumId w:val="22"/>
  </w:num>
  <w:num w:numId="27">
    <w:abstractNumId w:val="28"/>
  </w:num>
  <w:num w:numId="28">
    <w:abstractNumId w:val="36"/>
  </w:num>
  <w:num w:numId="29">
    <w:abstractNumId w:val="10"/>
  </w:num>
  <w:num w:numId="30">
    <w:abstractNumId w:val="9"/>
  </w:num>
  <w:num w:numId="31">
    <w:abstractNumId w:val="6"/>
  </w:num>
  <w:num w:numId="32">
    <w:abstractNumId w:val="34"/>
  </w:num>
  <w:num w:numId="33">
    <w:abstractNumId w:val="11"/>
  </w:num>
  <w:num w:numId="34">
    <w:abstractNumId w:val="23"/>
  </w:num>
  <w:num w:numId="35">
    <w:abstractNumId w:val="13"/>
  </w:num>
  <w:num w:numId="36">
    <w:abstractNumId w:val="19"/>
  </w:num>
  <w:num w:numId="37">
    <w:abstractNumId w:val="27"/>
  </w:num>
  <w:num w:numId="38">
    <w:abstractNumId w:val="37"/>
  </w:num>
  <w:num w:numId="3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schner, Jens">
    <w15:presenceInfo w15:providerId="None" w15:userId="Marschner, J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trackRevisions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C5"/>
    <w:rsid w:val="0000397B"/>
    <w:rsid w:val="00007C83"/>
    <w:rsid w:val="000123C8"/>
    <w:rsid w:val="00015628"/>
    <w:rsid w:val="00023184"/>
    <w:rsid w:val="00024762"/>
    <w:rsid w:val="00026DEA"/>
    <w:rsid w:val="00027C35"/>
    <w:rsid w:val="00035E93"/>
    <w:rsid w:val="0004004B"/>
    <w:rsid w:val="0004120D"/>
    <w:rsid w:val="00053969"/>
    <w:rsid w:val="00066979"/>
    <w:rsid w:val="00081DB5"/>
    <w:rsid w:val="00082246"/>
    <w:rsid w:val="000941F4"/>
    <w:rsid w:val="00095689"/>
    <w:rsid w:val="000A684C"/>
    <w:rsid w:val="000B0E8F"/>
    <w:rsid w:val="000B12B3"/>
    <w:rsid w:val="000C6BA6"/>
    <w:rsid w:val="000D4394"/>
    <w:rsid w:val="000E2B3B"/>
    <w:rsid w:val="000E307D"/>
    <w:rsid w:val="000E380D"/>
    <w:rsid w:val="00100C49"/>
    <w:rsid w:val="00107F2B"/>
    <w:rsid w:val="0015099E"/>
    <w:rsid w:val="00165520"/>
    <w:rsid w:val="0017464C"/>
    <w:rsid w:val="0018002B"/>
    <w:rsid w:val="001874BE"/>
    <w:rsid w:val="0019144F"/>
    <w:rsid w:val="001A0048"/>
    <w:rsid w:val="001A267D"/>
    <w:rsid w:val="001D6633"/>
    <w:rsid w:val="001D7C37"/>
    <w:rsid w:val="001E637E"/>
    <w:rsid w:val="001E65EB"/>
    <w:rsid w:val="001E678E"/>
    <w:rsid w:val="0021141B"/>
    <w:rsid w:val="00214D75"/>
    <w:rsid w:val="0021734A"/>
    <w:rsid w:val="0021784C"/>
    <w:rsid w:val="00226E0A"/>
    <w:rsid w:val="00232B0B"/>
    <w:rsid w:val="002332C7"/>
    <w:rsid w:val="00234370"/>
    <w:rsid w:val="00241ABB"/>
    <w:rsid w:val="002607A3"/>
    <w:rsid w:val="00261740"/>
    <w:rsid w:val="00266771"/>
    <w:rsid w:val="00271E66"/>
    <w:rsid w:val="002735D5"/>
    <w:rsid w:val="00281BB7"/>
    <w:rsid w:val="00285FF7"/>
    <w:rsid w:val="00291820"/>
    <w:rsid w:val="00293461"/>
    <w:rsid w:val="00293499"/>
    <w:rsid w:val="002A40D1"/>
    <w:rsid w:val="002A4E21"/>
    <w:rsid w:val="002A5E42"/>
    <w:rsid w:val="002C4349"/>
    <w:rsid w:val="002D00A4"/>
    <w:rsid w:val="002F411B"/>
    <w:rsid w:val="002F453E"/>
    <w:rsid w:val="002F795E"/>
    <w:rsid w:val="00300A0B"/>
    <w:rsid w:val="00300A4D"/>
    <w:rsid w:val="00301ACE"/>
    <w:rsid w:val="00303F1B"/>
    <w:rsid w:val="0031099B"/>
    <w:rsid w:val="00314523"/>
    <w:rsid w:val="003263D3"/>
    <w:rsid w:val="00330EC5"/>
    <w:rsid w:val="00337B74"/>
    <w:rsid w:val="00345109"/>
    <w:rsid w:val="00347435"/>
    <w:rsid w:val="00356974"/>
    <w:rsid w:val="003767BA"/>
    <w:rsid w:val="003775CD"/>
    <w:rsid w:val="00382313"/>
    <w:rsid w:val="00390081"/>
    <w:rsid w:val="003960F5"/>
    <w:rsid w:val="003B5D50"/>
    <w:rsid w:val="003C03B6"/>
    <w:rsid w:val="003D04B8"/>
    <w:rsid w:val="003E1F68"/>
    <w:rsid w:val="003E5460"/>
    <w:rsid w:val="003F43F3"/>
    <w:rsid w:val="003F57FF"/>
    <w:rsid w:val="004000B1"/>
    <w:rsid w:val="0040673A"/>
    <w:rsid w:val="004112D8"/>
    <w:rsid w:val="00423EAC"/>
    <w:rsid w:val="004271A7"/>
    <w:rsid w:val="00433E41"/>
    <w:rsid w:val="004360DB"/>
    <w:rsid w:val="00436345"/>
    <w:rsid w:val="00437B00"/>
    <w:rsid w:val="0044355F"/>
    <w:rsid w:val="004542AE"/>
    <w:rsid w:val="00454FD1"/>
    <w:rsid w:val="00461CC6"/>
    <w:rsid w:val="00470024"/>
    <w:rsid w:val="004712B2"/>
    <w:rsid w:val="00471D83"/>
    <w:rsid w:val="00482736"/>
    <w:rsid w:val="00494DD4"/>
    <w:rsid w:val="004A02A0"/>
    <w:rsid w:val="004A5115"/>
    <w:rsid w:val="004B0628"/>
    <w:rsid w:val="004B4A49"/>
    <w:rsid w:val="004B5E09"/>
    <w:rsid w:val="004B668E"/>
    <w:rsid w:val="004B70D5"/>
    <w:rsid w:val="004C1116"/>
    <w:rsid w:val="004C27B9"/>
    <w:rsid w:val="004C4E01"/>
    <w:rsid w:val="004D1F7F"/>
    <w:rsid w:val="004D21C7"/>
    <w:rsid w:val="004D2689"/>
    <w:rsid w:val="004D35F2"/>
    <w:rsid w:val="004D6749"/>
    <w:rsid w:val="004F0698"/>
    <w:rsid w:val="004F1941"/>
    <w:rsid w:val="004F7D96"/>
    <w:rsid w:val="004F7FFA"/>
    <w:rsid w:val="00521722"/>
    <w:rsid w:val="00522F6E"/>
    <w:rsid w:val="00542E75"/>
    <w:rsid w:val="005459DC"/>
    <w:rsid w:val="005537BB"/>
    <w:rsid w:val="005630A8"/>
    <w:rsid w:val="00585D4F"/>
    <w:rsid w:val="0059533A"/>
    <w:rsid w:val="0059697C"/>
    <w:rsid w:val="00597211"/>
    <w:rsid w:val="00597CED"/>
    <w:rsid w:val="005A43A1"/>
    <w:rsid w:val="005A48E1"/>
    <w:rsid w:val="005B0394"/>
    <w:rsid w:val="005B4FF4"/>
    <w:rsid w:val="005C009A"/>
    <w:rsid w:val="005C2729"/>
    <w:rsid w:val="005D2319"/>
    <w:rsid w:val="005D4258"/>
    <w:rsid w:val="005E58E6"/>
    <w:rsid w:val="005F3E47"/>
    <w:rsid w:val="00607512"/>
    <w:rsid w:val="006206E9"/>
    <w:rsid w:val="00640BAE"/>
    <w:rsid w:val="006442EB"/>
    <w:rsid w:val="00644D9F"/>
    <w:rsid w:val="006517DC"/>
    <w:rsid w:val="00652CD5"/>
    <w:rsid w:val="00661945"/>
    <w:rsid w:val="00662529"/>
    <w:rsid w:val="006711EA"/>
    <w:rsid w:val="006840DF"/>
    <w:rsid w:val="0068463E"/>
    <w:rsid w:val="00686576"/>
    <w:rsid w:val="00697D4E"/>
    <w:rsid w:val="006A78E0"/>
    <w:rsid w:val="006B0586"/>
    <w:rsid w:val="006B69DC"/>
    <w:rsid w:val="006C0A81"/>
    <w:rsid w:val="006D07B6"/>
    <w:rsid w:val="006D4448"/>
    <w:rsid w:val="006E4979"/>
    <w:rsid w:val="006E6E54"/>
    <w:rsid w:val="006E77EC"/>
    <w:rsid w:val="006F1942"/>
    <w:rsid w:val="006F3477"/>
    <w:rsid w:val="006F3E9A"/>
    <w:rsid w:val="00702DFE"/>
    <w:rsid w:val="0073642C"/>
    <w:rsid w:val="0073666E"/>
    <w:rsid w:val="007460D1"/>
    <w:rsid w:val="0075186A"/>
    <w:rsid w:val="007572BB"/>
    <w:rsid w:val="0076047A"/>
    <w:rsid w:val="00760D20"/>
    <w:rsid w:val="0076354D"/>
    <w:rsid w:val="00763C74"/>
    <w:rsid w:val="007764F0"/>
    <w:rsid w:val="007862B2"/>
    <w:rsid w:val="00791B89"/>
    <w:rsid w:val="007924BC"/>
    <w:rsid w:val="007A04F9"/>
    <w:rsid w:val="007A2AB9"/>
    <w:rsid w:val="007A2BCD"/>
    <w:rsid w:val="007A338D"/>
    <w:rsid w:val="007B4ACA"/>
    <w:rsid w:val="007B6340"/>
    <w:rsid w:val="007B6F79"/>
    <w:rsid w:val="007C2BF4"/>
    <w:rsid w:val="007C431B"/>
    <w:rsid w:val="007C568C"/>
    <w:rsid w:val="007D2797"/>
    <w:rsid w:val="007D5010"/>
    <w:rsid w:val="007D5138"/>
    <w:rsid w:val="007D5BEE"/>
    <w:rsid w:val="007D60E9"/>
    <w:rsid w:val="007D6444"/>
    <w:rsid w:val="007E33B2"/>
    <w:rsid w:val="007E7B79"/>
    <w:rsid w:val="007F299B"/>
    <w:rsid w:val="007F7D13"/>
    <w:rsid w:val="00852F4F"/>
    <w:rsid w:val="00855583"/>
    <w:rsid w:val="008564AE"/>
    <w:rsid w:val="0086315A"/>
    <w:rsid w:val="008637FC"/>
    <w:rsid w:val="0086607C"/>
    <w:rsid w:val="00871D0C"/>
    <w:rsid w:val="008742FF"/>
    <w:rsid w:val="00875F4D"/>
    <w:rsid w:val="008844DF"/>
    <w:rsid w:val="00890F8B"/>
    <w:rsid w:val="0089206B"/>
    <w:rsid w:val="00897364"/>
    <w:rsid w:val="008A6B63"/>
    <w:rsid w:val="008B1651"/>
    <w:rsid w:val="008B50E2"/>
    <w:rsid w:val="008E6A3D"/>
    <w:rsid w:val="008F2C5D"/>
    <w:rsid w:val="00900215"/>
    <w:rsid w:val="00917AB2"/>
    <w:rsid w:val="009230DB"/>
    <w:rsid w:val="00933687"/>
    <w:rsid w:val="0093695B"/>
    <w:rsid w:val="0094521E"/>
    <w:rsid w:val="009611CE"/>
    <w:rsid w:val="00964792"/>
    <w:rsid w:val="00984133"/>
    <w:rsid w:val="00985BE2"/>
    <w:rsid w:val="00986D99"/>
    <w:rsid w:val="00987DA4"/>
    <w:rsid w:val="009C2C72"/>
    <w:rsid w:val="009C5D47"/>
    <w:rsid w:val="009E2580"/>
    <w:rsid w:val="009E7809"/>
    <w:rsid w:val="009F308A"/>
    <w:rsid w:val="009F545F"/>
    <w:rsid w:val="009F731F"/>
    <w:rsid w:val="00A1344E"/>
    <w:rsid w:val="00A14726"/>
    <w:rsid w:val="00A16943"/>
    <w:rsid w:val="00A2028B"/>
    <w:rsid w:val="00A27072"/>
    <w:rsid w:val="00A27660"/>
    <w:rsid w:val="00A37CD1"/>
    <w:rsid w:val="00A47F19"/>
    <w:rsid w:val="00A51840"/>
    <w:rsid w:val="00A51E2B"/>
    <w:rsid w:val="00A64415"/>
    <w:rsid w:val="00A6443F"/>
    <w:rsid w:val="00A72C57"/>
    <w:rsid w:val="00A96635"/>
    <w:rsid w:val="00AA2A36"/>
    <w:rsid w:val="00AC71D0"/>
    <w:rsid w:val="00AD0A11"/>
    <w:rsid w:val="00AD5515"/>
    <w:rsid w:val="00AF1DE2"/>
    <w:rsid w:val="00AF3433"/>
    <w:rsid w:val="00AF4BEA"/>
    <w:rsid w:val="00AF594F"/>
    <w:rsid w:val="00B015F6"/>
    <w:rsid w:val="00B13202"/>
    <w:rsid w:val="00B232DB"/>
    <w:rsid w:val="00B24E47"/>
    <w:rsid w:val="00B35CF1"/>
    <w:rsid w:val="00B46DBA"/>
    <w:rsid w:val="00B80180"/>
    <w:rsid w:val="00B94330"/>
    <w:rsid w:val="00BA2D65"/>
    <w:rsid w:val="00BA3F29"/>
    <w:rsid w:val="00BB28C5"/>
    <w:rsid w:val="00BC5109"/>
    <w:rsid w:val="00BD22CC"/>
    <w:rsid w:val="00BD708A"/>
    <w:rsid w:val="00BE0E89"/>
    <w:rsid w:val="00BE590E"/>
    <w:rsid w:val="00BF2BC9"/>
    <w:rsid w:val="00C00988"/>
    <w:rsid w:val="00C07BAA"/>
    <w:rsid w:val="00C16061"/>
    <w:rsid w:val="00C30289"/>
    <w:rsid w:val="00C30FA8"/>
    <w:rsid w:val="00C36A92"/>
    <w:rsid w:val="00C37594"/>
    <w:rsid w:val="00C42072"/>
    <w:rsid w:val="00C448C2"/>
    <w:rsid w:val="00C62835"/>
    <w:rsid w:val="00C62DBB"/>
    <w:rsid w:val="00C6626A"/>
    <w:rsid w:val="00C85490"/>
    <w:rsid w:val="00C96EE1"/>
    <w:rsid w:val="00CA438C"/>
    <w:rsid w:val="00CA5728"/>
    <w:rsid w:val="00CA63E8"/>
    <w:rsid w:val="00CA65A3"/>
    <w:rsid w:val="00CB67C8"/>
    <w:rsid w:val="00CC5358"/>
    <w:rsid w:val="00CC56B1"/>
    <w:rsid w:val="00CE1332"/>
    <w:rsid w:val="00CE1B13"/>
    <w:rsid w:val="00CE70D7"/>
    <w:rsid w:val="00CF2956"/>
    <w:rsid w:val="00CF39BF"/>
    <w:rsid w:val="00D05A63"/>
    <w:rsid w:val="00D07A17"/>
    <w:rsid w:val="00D14D5C"/>
    <w:rsid w:val="00D17256"/>
    <w:rsid w:val="00D228C9"/>
    <w:rsid w:val="00D2519F"/>
    <w:rsid w:val="00D3033E"/>
    <w:rsid w:val="00D339B2"/>
    <w:rsid w:val="00D50DB3"/>
    <w:rsid w:val="00D515B1"/>
    <w:rsid w:val="00D6748C"/>
    <w:rsid w:val="00D718CD"/>
    <w:rsid w:val="00D77BF9"/>
    <w:rsid w:val="00D81925"/>
    <w:rsid w:val="00D91055"/>
    <w:rsid w:val="00D93A72"/>
    <w:rsid w:val="00DA3034"/>
    <w:rsid w:val="00DA3C7B"/>
    <w:rsid w:val="00DA6634"/>
    <w:rsid w:val="00DB68CE"/>
    <w:rsid w:val="00DC1672"/>
    <w:rsid w:val="00DC16F5"/>
    <w:rsid w:val="00DD7A38"/>
    <w:rsid w:val="00DE4863"/>
    <w:rsid w:val="00DF19E1"/>
    <w:rsid w:val="00DF2F0B"/>
    <w:rsid w:val="00DF578B"/>
    <w:rsid w:val="00E0332D"/>
    <w:rsid w:val="00E133A2"/>
    <w:rsid w:val="00E20DCE"/>
    <w:rsid w:val="00E25D20"/>
    <w:rsid w:val="00E26C25"/>
    <w:rsid w:val="00E3325F"/>
    <w:rsid w:val="00E40D75"/>
    <w:rsid w:val="00E471A8"/>
    <w:rsid w:val="00E5124D"/>
    <w:rsid w:val="00E54802"/>
    <w:rsid w:val="00E54E48"/>
    <w:rsid w:val="00E56744"/>
    <w:rsid w:val="00E64B29"/>
    <w:rsid w:val="00E66093"/>
    <w:rsid w:val="00E77AFF"/>
    <w:rsid w:val="00E859C5"/>
    <w:rsid w:val="00E95537"/>
    <w:rsid w:val="00E960FF"/>
    <w:rsid w:val="00EA0574"/>
    <w:rsid w:val="00EA4662"/>
    <w:rsid w:val="00EA4EE4"/>
    <w:rsid w:val="00EA4F06"/>
    <w:rsid w:val="00EA5BC4"/>
    <w:rsid w:val="00EB05CA"/>
    <w:rsid w:val="00EC0033"/>
    <w:rsid w:val="00EC10F2"/>
    <w:rsid w:val="00EC5F6F"/>
    <w:rsid w:val="00ED560C"/>
    <w:rsid w:val="00ED6B47"/>
    <w:rsid w:val="00ED7316"/>
    <w:rsid w:val="00ED7640"/>
    <w:rsid w:val="00EE1EAD"/>
    <w:rsid w:val="00EF7176"/>
    <w:rsid w:val="00F104EF"/>
    <w:rsid w:val="00F20B1E"/>
    <w:rsid w:val="00F34EAF"/>
    <w:rsid w:val="00F37FCD"/>
    <w:rsid w:val="00F4598E"/>
    <w:rsid w:val="00F511BF"/>
    <w:rsid w:val="00F63077"/>
    <w:rsid w:val="00F65DB4"/>
    <w:rsid w:val="00F757A8"/>
    <w:rsid w:val="00F85823"/>
    <w:rsid w:val="00FA7582"/>
    <w:rsid w:val="00FB64CC"/>
    <w:rsid w:val="00FB7CD0"/>
    <w:rsid w:val="00FC3DB1"/>
    <w:rsid w:val="00FC528A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4E21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2A4E21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2A4E21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A4E21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2A4E21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2A4E21"/>
  </w:style>
  <w:style w:type="paragraph" w:styleId="Textkrper-Zeileneinzug">
    <w:name w:val="Body Text Indent"/>
    <w:basedOn w:val="Standard"/>
    <w:semiHidden/>
    <w:rsid w:val="002A4E21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2A4E21"/>
    <w:pPr>
      <w:ind w:left="284" w:hanging="284"/>
    </w:pPr>
  </w:style>
  <w:style w:type="paragraph" w:styleId="Textkrper2">
    <w:name w:val="Body Text 2"/>
    <w:basedOn w:val="Standard"/>
    <w:semiHidden/>
    <w:rsid w:val="002A4E21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2A4E21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4E21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2A4E21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2A4E21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A4E21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2A4E21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2A4E21"/>
  </w:style>
  <w:style w:type="paragraph" w:styleId="Textkrper-Zeileneinzug">
    <w:name w:val="Body Text Indent"/>
    <w:basedOn w:val="Standard"/>
    <w:semiHidden/>
    <w:rsid w:val="002A4E21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2A4E21"/>
    <w:pPr>
      <w:ind w:left="284" w:hanging="284"/>
    </w:pPr>
  </w:style>
  <w:style w:type="paragraph" w:styleId="Textkrper2">
    <w:name w:val="Body Text 2"/>
    <w:basedOn w:val="Standard"/>
    <w:semiHidden/>
    <w:rsid w:val="002A4E21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2A4E21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91C6-AB8D-485C-93A5-0FE771CE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581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BMVBW: HVA F-StB 01; FGSV 941/1</vt:lpstr>
    </vt:vector>
  </TitlesOfParts>
  <Company>FGSV Verlag GmbH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BMVBW: HVA F-StB 01; FGSV 941/1</dc:title>
  <dc:subject>HVA F-StB 01, 1. Nachlieferung</dc:subject>
  <dc:creator>FGSV Verlag GmbH</dc:creator>
  <cp:lastModifiedBy>Pfeifer, Michael</cp:lastModifiedBy>
  <cp:revision>4</cp:revision>
  <cp:lastPrinted>2013-08-28T14:07:00Z</cp:lastPrinted>
  <dcterms:created xsi:type="dcterms:W3CDTF">2020-12-10T07:53:00Z</dcterms:created>
  <dcterms:modified xsi:type="dcterms:W3CDTF">2020-12-16T14:19:00Z</dcterms:modified>
</cp:coreProperties>
</file>