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/>
  <w:body>
    <w:p w14:paraId="1B8DB30B" w14:textId="59C2C44D" w:rsidR="00854188" w:rsidRPr="00BE0FFC" w:rsidRDefault="006C7135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90B5E3" wp14:editId="7789DB9E">
                <wp:simplePos x="0" y="0"/>
                <wp:positionH relativeFrom="page">
                  <wp:posOffset>2971800</wp:posOffset>
                </wp:positionH>
                <wp:positionV relativeFrom="margin">
                  <wp:posOffset>2331085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F5F9B" w14:textId="0F804E68" w:rsidR="00000558" w:rsidRPr="001B15BA" w:rsidRDefault="00630E83" w:rsidP="006B29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Die Forschungsgesellschaft für Straßen- und Verkehrswesen (FGSV) hat d</w:t>
                            </w:r>
                            <w:r w:rsidR="00322CF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r w:rsidR="006B00AD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</w:t>
                            </w:r>
                            <w:r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„</w:t>
                            </w:r>
                            <w:r w:rsidR="00322CF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Hinweise für den Technologiewechsel C-IST an Lichtsignalanlagen</w:t>
                            </w:r>
                            <w:r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“</w:t>
                            </w:r>
                            <w:r w:rsidR="006B2943"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(</w:t>
                            </w:r>
                            <w:r w:rsidR="00322CF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H </w:t>
                            </w:r>
                            <w:proofErr w:type="spellStart"/>
                            <w:r w:rsidR="00322CF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TwLSA</w:t>
                            </w:r>
                            <w:proofErr w:type="spellEnd"/>
                            <w:r w:rsidR="006B2943"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  <w:r w:rsidR="004218A4"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5833AB"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mit einer Ausgabe 2024 heraus</w:t>
                            </w:r>
                            <w:r w:rsidR="00322CF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="00322CF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5833AB"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gegeben</w:t>
                            </w:r>
                            <w:r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="006B2943"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Der Bezugspreis ist </w:t>
                            </w:r>
                            <w:r w:rsidR="00322CF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18</w:t>
                            </w:r>
                            <w:r w:rsidR="006B2943"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322CF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5</w:t>
                            </w:r>
                            <w:r w:rsidR="006B2943" w:rsidRPr="001B15B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0 EUR (FGSV-Mitglieder erhalten einen Rabatt von 30 %).</w:t>
                            </w:r>
                          </w:p>
                          <w:p w14:paraId="11E4BD35" w14:textId="77777777" w:rsidR="006B2943" w:rsidRPr="001B15BA" w:rsidRDefault="006B2943" w:rsidP="006B29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81702FA" w14:textId="77777777" w:rsidR="006B00AD" w:rsidRDefault="004D7167" w:rsidP="004D71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Die „</w:t>
                            </w:r>
                            <w:r w:rsidR="006B00AD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k</w:t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ooperative intelligente Verkehrstechnik“ (Englisch „Cooper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ative</w:t>
                            </w:r>
                            <w:proofErr w:type="spellEnd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Intelligent Transport System, C-ITS“) setzt auf die </w:t>
                            </w:r>
                            <w:proofErr w:type="spellStart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Kooper</w:t>
                            </w:r>
                            <w:proofErr w:type="spellEnd"/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proofErr w:type="spellStart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ation</w:t>
                            </w:r>
                            <w:proofErr w:type="spellEnd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von Fahrzeugen bzw. Verkehrsteilnehmenden untereinander und mit der Infrastruktur durch Vernetzung. Das eröffnet neue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Lösungsansätze, mittels derer die Anforderungen an die Mobilitätssysteme, nachhaltiger und umweltfreundlicher zu werden, umgesetzt werden können und die Mobilitätswende somit aktiv unterstützen. </w:t>
                            </w:r>
                            <w:r w:rsidR="006B00AD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</w:p>
                          <w:p w14:paraId="7FDFA628" w14:textId="283648DD" w:rsidR="004D7167" w:rsidRDefault="004D7167" w:rsidP="004D71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 H </w:t>
                            </w:r>
                            <w:proofErr w:type="spellStart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TwLSa</w:t>
                            </w:r>
                            <w:proofErr w:type="spellEnd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sollen u. a. dem Personenkreis des Betreibens von </w:t>
                            </w:r>
                            <w:r w:rsidR="0093040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Infrastruktur, der Planung und der Standardisierung eine Orienti</w:t>
                            </w:r>
                            <w:r w:rsidR="006B00AD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</w:t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rungshilfe an die Hand geben, um diese komplexe Aufgabe zu lösen und so die innovativen Potenziale der Technik möglichst vollständig und effizient nutzen zu können.</w:t>
                            </w:r>
                          </w:p>
                          <w:p w14:paraId="16A6049A" w14:textId="77777777" w:rsidR="006B00AD" w:rsidRPr="004D7167" w:rsidRDefault="006B00AD" w:rsidP="004D71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1F64611" w14:textId="193C168D" w:rsidR="004D7167" w:rsidRDefault="004D7167" w:rsidP="004D71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 H </w:t>
                            </w:r>
                            <w:proofErr w:type="spellStart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TwLSA</w:t>
                            </w:r>
                            <w:proofErr w:type="spellEnd"/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enthalten fünf Abschnitte. </w:t>
                            </w:r>
                            <w:r w:rsidR="0093040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Der </w:t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Abschnitt 1 beschreibt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den Zweck sowie die Motivation des Dokuments, ordnet das Thema C-ITS im Kontext ÖPNV ein und stellt die Bezüge zu bestehenden FGSV-Dokumenten, Arbeitskreisen sowie weiteren Verbänden der Standardisierung und Harmonisierung her. Ziel des Abschnitts 2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ist die Vorstellung der Grundlagen und Potenziale inklusive der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relevanten C-ITS-Services und Nachrichten im Allgemeinen und speziell für Mobilität in urbanen Räumen. Im Abschnitt 3 werden wesentliche Veröffentlichungen und abgeschlossene sowie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laufende Projekte zum Thema zusammenfassend vorgestellt.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Dies gibt einen Überblick vorwiegend auf nationaler Ebene und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einen Einblick in die europäische und internationale Ebene.</w:t>
                            </w:r>
                          </w:p>
                          <w:p w14:paraId="137FE141" w14:textId="77777777" w:rsidR="0093040A" w:rsidRPr="004D7167" w:rsidRDefault="0093040A" w:rsidP="004D71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FEAC5A1" w14:textId="5D684EF9" w:rsidR="004D7167" w:rsidRPr="004D7167" w:rsidRDefault="004D7167" w:rsidP="004D71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Im Zuge des Abschnitt</w:t>
                            </w:r>
                            <w:r w:rsidR="0093040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4 steht die Systemintegration sowie die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Vernetzung im Bereich C-ITS im Fokus. Hier werden idealisierte Systemarchitekturen aufgezeigt und wie dies mustergültig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implementiert werden sollten. Da für die Integration von C-ITS in Bestandssysteme nicht immer auf mustergültige Systemarchitekt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-</w:t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uren zurückgegriffen werden kann, zeigt </w:t>
                            </w:r>
                            <w:r w:rsidR="0093040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der </w:t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Abschnitt 5 sinnvolle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Migrationspfade und unterlegt diese mit den dargestellten </w:t>
                            </w:r>
                            <w:r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Roadmaps beispielhafter Installationen. Mit </w:t>
                            </w:r>
                            <w:r w:rsidR="0093040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dem </w:t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Abschnitt 6 schließt dieses Wissensdokument mit einer Zusammenfassung </w:t>
                            </w:r>
                            <w:r w:rsidR="0093040A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D7167"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sowie einem Ausblick.</w:t>
                            </w:r>
                          </w:p>
                          <w:p w14:paraId="41C764AD" w14:textId="77777777" w:rsidR="00365687" w:rsidRPr="001B15BA" w:rsidRDefault="00365687" w:rsidP="00190F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Cambria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0B5E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83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C89wZ45AAAAA0BAAAPAAAAZHJzL2Rvd25yZXYueG1sTI/NTsMwEITvSLyDtUjcqBMo&#10;bhXiVPz1QJGoWhCCmxsvSUS8jmK3DTw92xO97WhHM9/ks8G1Yod9aDxpSEcJCKTS24YqDW+v84sp&#10;iBANWdN6Qg0/GGBWnJ7kJrN+TyvcrWMlOIRCZjTUMXaZlKGs0Zkw8h0S/75870xk2VfS9mbP4a6V&#10;l0mipDMNcUNtOryvsfxebx2XEN7JJ+eXi/b58+Hj8WX1+z4ftD4/G25vQEQc4r8ZDviMDgUzbfyW&#10;bBCthrGa8pao4UpNUhAHR5qOr0Fs+FLJRIEscnm8ovgDAAD//wMAUEsBAi0AFAAGAAgAAAAhALaD&#10;OJL+AAAA4QEAABMAAAAAAAAAAAAAAAAAAAAAAFtDb250ZW50X1R5cGVzXS54bWxQSwECLQAUAAYA&#10;CAAAACEAOP0h/9YAAACUAQAACwAAAAAAAAAAAAAAAAAvAQAAX3JlbHMvLnJlbHNQSwECLQAUAAYA&#10;CAAAACEA3YSSldsBAACWAwAADgAAAAAAAAAAAAAAAAAuAgAAZHJzL2Uyb0RvYy54bWxQSwECLQAU&#10;AAYACAAAACEAvPcGeOQAAAANAQAADwAAAAAAAAAAAAAAAAA1BAAAZHJzL2Rvd25yZXYueG1sUEsF&#10;BgAAAAAEAAQA8wAAAEYFAAAAAA==&#10;" filled="f" stroked="f">
                <v:textbox inset="0,0,,0">
                  <w:txbxContent>
                    <w:p w14:paraId="369F5F9B" w14:textId="0F804E68" w:rsidR="00000558" w:rsidRPr="001B15BA" w:rsidRDefault="00630E83" w:rsidP="006B294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Die Forschungsgesellschaft für Straßen- und Verkehrswesen (FGSV) hat d</w:t>
                      </w:r>
                      <w:r w:rsidR="00322CF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i</w:t>
                      </w:r>
                      <w:r w:rsidR="006B00AD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e</w:t>
                      </w:r>
                      <w:r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„</w:t>
                      </w:r>
                      <w:r w:rsidR="00322CF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Hinweise für den Technologiewechsel C-IST an Lichtsignalanlagen</w:t>
                      </w:r>
                      <w:r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“</w:t>
                      </w:r>
                      <w:r w:rsidR="006B2943"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(</w:t>
                      </w:r>
                      <w:r w:rsidR="00322CF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H </w:t>
                      </w:r>
                      <w:proofErr w:type="spellStart"/>
                      <w:r w:rsidR="00322CF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TwLSA</w:t>
                      </w:r>
                      <w:proofErr w:type="spellEnd"/>
                      <w:r w:rsidR="006B2943"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)</w:t>
                      </w:r>
                      <w:r w:rsidR="004218A4"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5833AB"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mit einer Ausgabe 2024 heraus</w:t>
                      </w:r>
                      <w:r w:rsidR="00322CF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="00322CF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="005833AB"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gegeben</w:t>
                      </w:r>
                      <w:r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r w:rsidR="006B2943"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Der Bezugspreis ist </w:t>
                      </w:r>
                      <w:r w:rsidR="00322CF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18</w:t>
                      </w:r>
                      <w:r w:rsidR="006B2943"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322CF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5</w:t>
                      </w:r>
                      <w:r w:rsidR="006B2943" w:rsidRPr="001B15B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0 EUR (FGSV-Mitglieder erhalten einen Rabatt von 30 %).</w:t>
                      </w:r>
                    </w:p>
                    <w:p w14:paraId="11E4BD35" w14:textId="77777777" w:rsidR="006B2943" w:rsidRPr="001B15BA" w:rsidRDefault="006B2943" w:rsidP="006B2943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81702FA" w14:textId="77777777" w:rsidR="006B00AD" w:rsidRDefault="004D7167" w:rsidP="004D716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Die „</w:t>
                      </w:r>
                      <w:r w:rsidR="006B00AD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k</w:t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ooperative intelligente Verkehrstechnik“ (Englisch „Cooper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proofErr w:type="spellStart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ative</w:t>
                      </w:r>
                      <w:proofErr w:type="spellEnd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Intelligent Transport System, C-ITS“) setzt auf die </w:t>
                      </w:r>
                      <w:proofErr w:type="spellStart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Kooper</w:t>
                      </w:r>
                      <w:proofErr w:type="spellEnd"/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proofErr w:type="spellStart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ation</w:t>
                      </w:r>
                      <w:proofErr w:type="spellEnd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von Fahrzeugen bzw. Verkehrsteilnehmenden untereinander und mit der Infrastruktur durch Vernetzung. Das eröffnet neue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Lösungsansätze, mittels derer die Anforderungen an die Mobilitätssysteme, nachhaltiger und umweltfreundlicher zu werden, umgesetzt werden können und die Mobilitätswende somit aktiv unterstützen. </w:t>
                      </w:r>
                      <w:r w:rsidR="006B00AD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</w:p>
                    <w:p w14:paraId="7FDFA628" w14:textId="283648DD" w:rsidR="004D7167" w:rsidRDefault="004D7167" w:rsidP="004D716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 H </w:t>
                      </w:r>
                      <w:proofErr w:type="spellStart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TwLSa</w:t>
                      </w:r>
                      <w:proofErr w:type="spellEnd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sollen u. a. dem Personenkreis des Betreibens von </w:t>
                      </w:r>
                      <w:r w:rsidR="0093040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Infrastruktur, der Planung und der Standardisierung eine Orienti</w:t>
                      </w:r>
                      <w:r w:rsidR="006B00AD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e</w:t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rungshilfe an die Hand geben, um diese komplexe Aufgabe zu lösen und so die innovativen Potenziale der Technik möglichst vollständig und effizient nutzen zu können.</w:t>
                      </w:r>
                    </w:p>
                    <w:p w14:paraId="16A6049A" w14:textId="77777777" w:rsidR="006B00AD" w:rsidRPr="004D7167" w:rsidRDefault="006B00AD" w:rsidP="004D716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1F64611" w14:textId="193C168D" w:rsidR="004D7167" w:rsidRDefault="004D7167" w:rsidP="004D716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 H </w:t>
                      </w:r>
                      <w:proofErr w:type="spellStart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TwLSA</w:t>
                      </w:r>
                      <w:proofErr w:type="spellEnd"/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enthalten fünf Abschnitte. </w:t>
                      </w:r>
                      <w:r w:rsidR="0093040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Der </w:t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Abschnitt 1 beschreibt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den Zweck sowie die Motivation des Dokuments, ordnet das Thema C-ITS im Kontext ÖPNV ein und stellt die Bezüge zu bestehenden FGSV-Dokumenten, Arbeitskreisen sowie weiteren Verbänden der Standardisierung und Harmonisierung her. Ziel des Abschnitts 2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ist die Vorstellung der Grundlagen und Potenziale inklusive der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relevanten C-ITS-Services und Nachrichten im Allgemeinen und speziell für Mobilität in urbanen Räumen. Im Abschnitt 3 werden wesentliche Veröffentlichungen und abgeschlossene sowie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laufende Projekte zum Thema zusammenfassend vorgestellt.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Dies gibt einen Überblick vorwiegend auf nationaler Ebene und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einen Einblick in die europäische und internationale Ebene.</w:t>
                      </w:r>
                    </w:p>
                    <w:p w14:paraId="137FE141" w14:textId="77777777" w:rsidR="0093040A" w:rsidRPr="004D7167" w:rsidRDefault="0093040A" w:rsidP="004D716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FEAC5A1" w14:textId="5D684EF9" w:rsidR="004D7167" w:rsidRPr="004D7167" w:rsidRDefault="004D7167" w:rsidP="004D7167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Im Zuge des Abschnitt</w:t>
                      </w:r>
                      <w:r w:rsidR="0093040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</w:t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4 steht die Systemintegration sowie die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Vernetzung im Bereich C-ITS im Fokus. Hier werden idealisierte Systemarchitekturen aufgezeigt und wie dies mustergültig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implementiert werden sollten. Da für die Integration von C-ITS in Bestandssysteme nicht immer auf mustergültige Systemarchitekt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-</w:t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uren zurückgegriffen werden kann, zeigt </w:t>
                      </w:r>
                      <w:r w:rsidR="0093040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der </w:t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Abschnitt 5 sinnvolle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Migrationspfade und unterlegt diese mit den dargestellten </w:t>
                      </w:r>
                      <w:r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Roadmaps beispielhafter Installationen. Mit </w:t>
                      </w:r>
                      <w:r w:rsidR="0093040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dem </w:t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Abschnitt 6 schließt dieses Wissensdokument mit einer Zusammenfassung </w:t>
                      </w:r>
                      <w:r w:rsidR="0093040A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D7167"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  <w:t>sowie einem Ausblick.</w:t>
                      </w:r>
                    </w:p>
                    <w:p w14:paraId="41C764AD" w14:textId="77777777" w:rsidR="00365687" w:rsidRPr="001B15BA" w:rsidRDefault="00365687" w:rsidP="00190F56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Cambria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E64E9" wp14:editId="6229C57B">
                <wp:simplePos x="0" y="0"/>
                <wp:positionH relativeFrom="page">
                  <wp:posOffset>323850</wp:posOffset>
                </wp:positionH>
                <wp:positionV relativeFrom="page">
                  <wp:posOffset>6046470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6E934" w14:textId="77777777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2A4D58CB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454229C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AC0A3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2B55BD29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13469647" w14:textId="77777777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15FFE71B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E64E9" id="Text Box 273" o:spid="_x0000_s1027" type="#_x0000_t202" style="position:absolute;left:0;text-align:left;margin-left:25.5pt;margin-top:476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AD4wEAAKkDAAAOAAAAZHJzL2Uyb0RvYy54bWysU9tu1DAQfUfiHyy/s7lol9Jos1VpVYRU&#10;KFLhAxzHSSwSjxl7N1m+nrGTbhd4q/pieWacM+ecmWyvpqFnB4VOgyl5tko5U0ZCrU1b8h/f7959&#10;4Mx5YWrRg1ElPyrHr3Zv32xHW6gcOuhrhYxAjCtGW/LOe1skiZOdGoRbgVWGig3gIDyF2CY1ipHQ&#10;hz7J0/R9MgLWFkEq5yh7Oxf5LuI3jZL+oWmc8qwvOXHz8cR4VuFMdltRtChsp+VCQ7yAxSC0oaYn&#10;qFvhBduj/g9q0BLBQeNXEoYEmkZLFTWQmiz9R81jJ6yKWsgcZ082udeDlV8Pj/YbMj99hIkGGEU4&#10;ew/yp2MGbjphWnWNCGOnRE2Ns2BZMlpXLJ8Gq13hAkg1foGahiz2HiLQ1OAQXCGdjNBpAMeT6Wry&#10;TFIypzHmFxvOJNWyy3ydbuJYElE8fW7R+U8KBhYuJUeaaoQXh3vnAx1RPD0J3Qzc6b6Pk+3NXwl6&#10;GDKRfmA8c/dTNTFdL9qCmgrqI+lBmPeF9psuHeBvzkbalZK7X3uBirP+syFPLrP1OixXDNabi5wC&#10;PK9U5xVhJEGV3HM2X2/8vJB7i7rtqNM8BQPX5GOjo8JnVgt92ocofNndsHDncXz1/Ift/gAAAP//&#10;AwBQSwMEFAAGAAgAAAAhANleCbneAAAACwEAAA8AAABkcnMvZG93bnJldi54bWxMj8FOwzAQRO9I&#10;/IO1SNyoU4MpCXEqBOIKaqFI3Nx4m0TE6yh2m/D3LCc4rvZp5k25nn0vTjjGLpCB5SIDgVQH11Fj&#10;4P3t+eoOREyWnO0DoYFvjLCuzs9KW7gw0QZP29QIDqFYWANtSkMhZaxb9DYuwoDEv0MYvU18jo10&#10;o5043PdSZdmt9LYjbmjtgI8t1l/bozewezl8ftxkr82T18MU5kySz6Uxlxfzwz2IhHP6g+FXn9Wh&#10;Yqd9OJKLojeglzwlGci1UiAYuM5XGsSeSaW1AlmV8v+G6gcAAP//AwBQSwECLQAUAAYACAAAACEA&#10;toM4kv4AAADhAQAAEwAAAAAAAAAAAAAAAAAAAAAAW0NvbnRlbnRfVHlwZXNdLnhtbFBLAQItABQA&#10;BgAIAAAAIQA4/SH/1gAAAJQBAAALAAAAAAAAAAAAAAAAAC8BAABfcmVscy8ucmVsc1BLAQItABQA&#10;BgAIAAAAIQCYonAD4wEAAKkDAAAOAAAAAAAAAAAAAAAAAC4CAABkcnMvZTJvRG9jLnhtbFBLAQIt&#10;ABQABgAIAAAAIQDZXgm53gAAAAsBAAAPAAAAAAAAAAAAAAAAAD0EAABkcnMvZG93bnJldi54bWxQ&#10;SwUGAAAAAAQABADzAAAASAUAAAAA&#10;" filled="f" stroked="f">
                <v:textbox>
                  <w:txbxContent>
                    <w:p w14:paraId="7CA6E934" w14:textId="77777777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2A4D58CB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454229C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AC0A3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2B55BD29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13469647" w14:textId="77777777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15FFE71B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59D8C" wp14:editId="7B8616E8">
                <wp:simplePos x="0" y="0"/>
                <wp:positionH relativeFrom="page">
                  <wp:posOffset>342900</wp:posOffset>
                </wp:positionH>
                <wp:positionV relativeFrom="page">
                  <wp:posOffset>3208020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7E9E9" w14:textId="6BAF3C77" w:rsidR="00491F7F" w:rsidRPr="00386479" w:rsidRDefault="00F87A8A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TwLSA</w:t>
                            </w:r>
                            <w:proofErr w:type="spellEnd"/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582B6B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47D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</w:t>
                            </w:r>
                            <w:r w:rsidR="004E22CC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77156D60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0C1204FF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09335E9F" w14:textId="10E02E67" w:rsidR="00582B6B" w:rsidRPr="00413052" w:rsidRDefault="00F87A8A" w:rsidP="00413052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44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E0154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EF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1</w:t>
                            </w:r>
                            <w:r w:rsidR="002C6EF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B5307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4B530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="00582B6B"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582B6B"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12C1BC60" w14:textId="77777777" w:rsidR="00582B6B" w:rsidRPr="00582B6B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(FGSV-Mitglieder erhalten einen</w:t>
                            </w:r>
                          </w:p>
                          <w:p w14:paraId="2D6474B6" w14:textId="77777777" w:rsidR="00582B6B" w:rsidRPr="00582B6B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sz w:val="20"/>
                                <w:szCs w:val="20"/>
                              </w:rPr>
                              <w:t>Rabatt von 30 %)</w:t>
                            </w:r>
                          </w:p>
                          <w:p w14:paraId="3F4BE458" w14:textId="7BB9781E" w:rsidR="009A7BDC" w:rsidRDefault="00582B6B" w:rsidP="00582B6B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F87A8A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321/4</w:t>
                            </w:r>
                            <w:r w:rsidRPr="00582B6B">
                              <w:rPr>
                                <w:rFonts w:ascii="DIN Pro" w:hAnsi="DIN Pr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83CC20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9D8C" id="Text Box 271" o:spid="_x0000_s1028" type="#_x0000_t202" style="position:absolute;left:0;text-align:left;margin-left:27pt;margin-top:252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SCK5buIAAAAKAQAADwAAAGRycy9kb3ducmV2LnhtbEyPQUvEMBCF&#10;74L/IYzgRdxky3a1temiggcRF6wePGabsS02k9Kk2+qvdzzp6TG8x5vvFbvF9eKIY+g8aVivFAik&#10;2tuOGg1vrw+X1yBCNGRN7wk1fGGAXXl6Upjc+ple8FjFRnAJhdxoaGMccilD3aIzYeUHJPY+/OhM&#10;5HNspB3NzOWul4lSW+lMR/yhNQPet1h/VpPT4Cf1/txc3O2z+buq/ePePtVZpvX52XJ7AyLiEv/C&#10;8IvP6FAy08FPZIPoNaQbnhJZVZqA4MBmnaQgDhqydHsFsizk/wnlDw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BIIrlu4gAAAAoBAAAPAAAAAAAAAAAAAAAAAD8EAABkcnMvZG93bnJl&#10;di54bWxQSwUGAAAAAAQABADzAAAATgUAAAAA&#10;" filled="f" stroked="f" strokecolor="#c30">
                <v:textbox>
                  <w:txbxContent>
                    <w:p w14:paraId="3737E9E9" w14:textId="6BAF3C77" w:rsidR="00491F7F" w:rsidRPr="00386479" w:rsidRDefault="00F87A8A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TwLSA</w:t>
                      </w:r>
                      <w:proofErr w:type="spellEnd"/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582B6B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F347D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</w:t>
                      </w:r>
                      <w:r w:rsidR="004E22CC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77156D60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0C1204FF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09335E9F" w14:textId="10E02E67" w:rsidR="00582B6B" w:rsidRPr="00413052" w:rsidRDefault="00F87A8A" w:rsidP="00413052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 w:cs="Helvetic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44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E0154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C6EF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1</w:t>
                      </w:r>
                      <w:r w:rsidR="002C6EF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B5307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4B530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="00582B6B"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582B6B"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0 EUR</w:t>
                      </w:r>
                    </w:p>
                    <w:p w14:paraId="12C1BC60" w14:textId="77777777" w:rsidR="00582B6B" w:rsidRPr="00582B6B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(FGSV-Mitglieder erhalten einen</w:t>
                      </w:r>
                    </w:p>
                    <w:p w14:paraId="2D6474B6" w14:textId="77777777" w:rsidR="00582B6B" w:rsidRPr="00582B6B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sz w:val="20"/>
                          <w:szCs w:val="20"/>
                        </w:rPr>
                        <w:t>Rabatt von 30 %)</w:t>
                      </w:r>
                    </w:p>
                    <w:p w14:paraId="3F4BE458" w14:textId="7BB9781E" w:rsidR="009A7BDC" w:rsidRDefault="00582B6B" w:rsidP="00582B6B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  <w:r w:rsidRPr="00582B6B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(FGSV </w:t>
                      </w:r>
                      <w:r w:rsidR="00F87A8A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321/4</w:t>
                      </w:r>
                      <w:r w:rsidRPr="00582B6B">
                        <w:rPr>
                          <w:rFonts w:ascii="DIN Pro" w:hAnsi="DIN Pro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5D83CC20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8905E" wp14:editId="77FB3751">
                <wp:simplePos x="0" y="0"/>
                <wp:positionH relativeFrom="page">
                  <wp:posOffset>457200</wp:posOffset>
                </wp:positionH>
                <wp:positionV relativeFrom="page">
                  <wp:posOffset>8065770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F2B45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F3BDF43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C1100" wp14:editId="5934F8AD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10E70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8C3DDB1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034F038" wp14:editId="69F07958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1CA492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EE243A3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7949B2CE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1B5D8CF0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905E" id="_x0000_s1029" type="#_x0000_t202" href="http://www.instagram.com/fgsv_verlag/" style="position:absolute;left:0;text-align:left;margin-left:36pt;margin-top:635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wO5AEAAKkDAAAOAAAAZHJzL2Uyb0RvYy54bWysU9Fu0zAUfUfiHyy/07Sh2UbUdBqbhpDG&#10;QBp8gOPYiUXia67dJuXruXa6rsAb4sWyfZ1zzzn3ZHM9DT3bK/QGbMVXiyVnykpojG0r/u3r/Zsr&#10;znwQthE9WFXxg/L8evv61WZ0pcqhg75RyAjE+nJ0Fe9CcGWWedmpQfgFOGWpqAEHEeiIbdagGAl9&#10;6LN8ubzIRsDGIUjlPd3ezUW+TfhaKxk+a+1VYH3FiVtIK6a1jmu23YiyReE6I480xD+wGISx1PQE&#10;dSeCYDs0f0ENRiJ40GEhYchAayNV0kBqVss/1Dx1wqmkhczx7mST/3+w8nH/5L4gC9N7mGiASYR3&#10;DyC/e2bhthO2VTeIMHZKNNR4FS3LRufL46fRal/6CFKPn6ChIYtdgAQ0aRyiK6STEToN4HAyXU2B&#10;ydjy3Wpd5AVnkmr5+rK4uihSD1E+f+7Qhw8KBhY3FUeaaoIX+wcfIh1RPj+J3Szcm75Pk+3tbxf0&#10;MN4k+pHxzD1M9cRMU/G3sW9UU0NzID0Ic14o37TpAH9yNlJWKu5/7AQqzvqPljwhBesYrnRYF5c5&#10;HfC8Up9XhJUEVfHA2by9DXMgdw5N21GneQoWbshHbZLCF1ZH+pSHJPyY3Ri483N69fKHbX8BAAD/&#10;/wMAUEsDBBQABgAIAAAAIQBBCkq33QAAAAwBAAAPAAAAZHJzL2Rvd25yZXYueG1sTI/BTsMwEETv&#10;SPyDtUjcqNNUJJDGqRASVwRpP8CJt4mFvQ6x2wa+nuUEx50dzbypd4t34oxztIEUrFcZCKQ+GEuD&#10;gsP+5e4BREyajHaBUMEXRtg111e1rky40Due2zQIDqFYaQVjSlMlZexH9DquwoTEv2OYvU58zoM0&#10;s75wuHcyz7JCem2JG0Y94fOI/Ud78grkkLT9ftuTa03oPh9t9xraUqnbm+VpCyLhkv7M8IvP6NAw&#10;UxdOZKJwCsqcpyTW8zLLQbBjU27uQXQsFUW2BtnU8v+I5gcAAP//AwBQSwECLQAUAAYACAAAACEA&#10;toM4kv4AAADhAQAAEwAAAAAAAAAAAAAAAAAAAAAAW0NvbnRlbnRfVHlwZXNdLnhtbFBLAQItABQA&#10;BgAIAAAAIQA4/SH/1gAAAJQBAAALAAAAAAAAAAAAAAAAAC8BAABfcmVscy8ucmVsc1BLAQItABQA&#10;BgAIAAAAIQD4xNwO5AEAAKkDAAAOAAAAAAAAAAAAAAAAAC4CAABkcnMvZTJvRG9jLnhtbFBLAQIt&#10;ABQABgAIAAAAIQBBCkq33QAAAAwBAAAPAAAAAAAAAAAAAAAAAD4EAABkcnMvZG93bnJldi54bWxQ&#10;SwUGAAAAAAQABADzAAAASAUAAAAA&#10;" o:button="t" filled="f" stroked="f" strokecolor="#c30">
                <v:fill o:detectmouseclick="t"/>
                <v:textbox>
                  <w:txbxContent>
                    <w:p w14:paraId="634F2B45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F3BDF43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4C1100" wp14:editId="5934F8AD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10E70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48C3DDB1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034F038" wp14:editId="69F07958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1CA492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EE243A3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7949B2CE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1B5D8CF0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A6CD6" wp14:editId="71DE30AE">
                <wp:simplePos x="0" y="0"/>
                <wp:positionH relativeFrom="page">
                  <wp:posOffset>361950</wp:posOffset>
                </wp:positionH>
                <wp:positionV relativeFrom="page">
                  <wp:posOffset>2619375</wp:posOffset>
                </wp:positionV>
                <wp:extent cx="1767840" cy="208280"/>
                <wp:effectExtent l="0" t="0" r="0" b="127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C9343" w14:textId="21CB2475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7A8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09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582B6B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F87A8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C267D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A6CD6" id="Text Box 324" o:spid="_x0000_s1030" type="#_x0000_t202" style="position:absolute;left:0;text-align:left;margin-left:28.5pt;margin-top:206.25pt;width:139.2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9d3wEAAKADAAAOAAAAZHJzL2Uyb0RvYy54bWysU9tu2zAMfR+wfxD0vtgJgjYz4hRdiw4D&#10;ugvQ7QNkWbaF2aJGKrGzrx8lJ2m3vQ17EShSPjznkN7eTEMvDgbJgivlcpFLYZyG2rq2lN++PrzZ&#10;SEFBuVr14Ewpj4bkze71q+3oC7OCDvraoGAQR8XoS9mF4IssI92ZQdECvHFcbAAHFfiKbVajGhl9&#10;6LNVnl9lI2DtEbQh4uz9XJS7hN80RofPTUMmiL6UzC2kE9NZxTPbbVXRovKd1Sca6h9YDMo6bnqB&#10;uldBiT3av6AGqxEImrDQMGTQNFabpIHVLPM/1Dx1ypukhc0hf7GJ/h+s/nR48l9QhOkdTDzAJIL8&#10;I+jvJBzcdcq15hYRxs6omhsvo2XZ6Kk4fRqtpoIiSDV+hJqHrPYBEtDU4BBdYZ2C0XkAx4vpZgpC&#10;x5bXV9ebNZc011b5ZrVJU8lUcf7aI4X3BgYRg1IiDzWhq8MjhchGFecnsZmDB9v3abC9+y3BD2Mm&#10;sY+EZ+phqiZh61Kuo7QopoL6yHIQ5nXh9eagA/wpxcirUkr6sVdopOg/OLbk7XId+Yd04QBfZqtz&#10;VjnNEKUMUszhXZj3cO/Rth13mM13cMv2NTYpe2Zzos1rkASfVjbu2ct7evX8Y+1+AQAA//8DAFBL&#10;AwQUAAYACAAAACEAfpcIk94AAAAKAQAADwAAAGRycy9kb3ducmV2LnhtbEyPzU7DMBCE70i8g7VI&#10;3KjzS6sQpwIkeioHCg+wjU0ciO3IdpukT89yguPsjGa/qbezGdhZ+dA7KyBdJcCUbZ3sbSfg4/3l&#10;bgMsRLQSB2eVgEUF2DbXVzVW0k32TZ0PsWNUYkOFAnSMY8V5aLUyGFZuVJa8T+cNRpK+49LjROVm&#10;4FmS3HODvaUPGkf1rFX7fTgZAeaSXvwe0XztlgyncdG71/2TELc38+MDsKjm+BeGX3xCh4aYju5k&#10;ZWCDgHJNU6KAIs1KYBTI87IAdqRLUebAm5r/n9D8AAAA//8DAFBLAQItABQABgAIAAAAIQC2gziS&#10;/gAAAOEBAAATAAAAAAAAAAAAAAAAAAAAAABbQ29udGVudF9UeXBlc10ueG1sUEsBAi0AFAAGAAgA&#10;AAAhADj9If/WAAAAlAEAAAsAAAAAAAAAAAAAAAAALwEAAF9yZWxzLy5yZWxzUEsBAi0AFAAGAAgA&#10;AAAhAJdy313fAQAAoAMAAA4AAAAAAAAAAAAAAAAALgIAAGRycy9lMm9Eb2MueG1sUEsBAi0AFAAG&#10;AAgAAAAhAH6XCJPeAAAACgEAAA8AAAAAAAAAAAAAAAAAOQQAAGRycy9kb3ducmV2LnhtbFBLBQYA&#10;AAAABAAEAPMAAABEBQAAAAA=&#10;" filled="f" stroked="f">
                <v:textbox inset=",0,,0">
                  <w:txbxContent>
                    <w:p w14:paraId="7EDC9343" w14:textId="21CB2475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87A8A">
                        <w:rPr>
                          <w:rFonts w:ascii="DIN Pro" w:hAnsi="DIN Pro"/>
                          <w:sz w:val="20"/>
                          <w:szCs w:val="20"/>
                        </w:rPr>
                        <w:t>09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582B6B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F87A8A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C267D5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46CE0D7" wp14:editId="73FE89C8">
                <wp:simplePos x="0" y="0"/>
                <wp:positionH relativeFrom="page">
                  <wp:posOffset>2981325</wp:posOffset>
                </wp:positionH>
                <wp:positionV relativeFrom="page">
                  <wp:posOffset>2590800</wp:posOffset>
                </wp:positionV>
                <wp:extent cx="4105275" cy="8191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DFD9" w14:textId="6FC1B1C8" w:rsidR="00491F7F" w:rsidRPr="0066239E" w:rsidRDefault="00F87A8A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TwLSA</w:t>
                            </w:r>
                            <w:proofErr w:type="spellEnd"/>
                            <w:r w:rsidR="00582B6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Hinweise für den Technologiewechsel C-IST an Lichtsignalanlagen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582B6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4B9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Ausgabe </w:t>
                            </w:r>
                            <w:r w:rsidR="00960E2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</w:t>
                            </w:r>
                            <w:r w:rsidR="004214C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5D53D8E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20A7537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E3AE80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CE0D7" id="Text Box 15" o:spid="_x0000_s1031" type="#_x0000_t202" style="position:absolute;left:0;text-align:left;margin-left:234.75pt;margin-top:204pt;width:323.25pt;height:6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Tc2gEAAJgDAAAOAAAAZHJzL2Uyb0RvYy54bWysU9uO0zAQfUfiHyy/0zQVhSVqulp2tQhp&#10;uUgLH+A4TmKReMyM26R8PWOn6XJ5Q7xYk7F9fC6T3fU09OJokCy4UuartRTGaaita0v59cv9iysp&#10;KChXqx6cKeXJkLzeP3+2G31hNtBBXxsUDOKoGH0puxB8kWWkOzMoWoE3jjcbwEEF/sQ2q1GNjD70&#10;2Wa9fpWNgLVH0IaIu3fzptwn/KYxOnxqGjJB9KVkbiGtmNYqrtl+p4oWle+sPtNQ/8BiUNbxoxeo&#10;OxWUOKD9C2qwGoGgCSsNQwZNY7VJGlhNvv5DzWOnvEla2BzyF5vo/8Hqj8dH/xlFmN7CxAEmEeQf&#10;QH8j4eC2U641N4gwdkbV/HAeLctGT8X5arSaCoog1fgBag5ZHQIkoKnBIbrCOgWjcwCni+lmCkJz&#10;82W+3m5eb6XQvHeVv8m3KZVMFcttjxTeGRhELEqJHGpCV8cHCpGNKpYj8TEH97bvU7C9+63BB2Mn&#10;sY+EZ+phqiZh61Juo7QopoL6xHIQ5nHh8eaiA/whxcijUkr6flBopOjfO7YkztVS4FJUS6Gc5qul&#10;DFLM5W2Y5+/g0bYdI8+mO7hh2xqbFD2xONPl+JPQ86jG+fr1O516+qH2PwEAAP//AwBQSwMEFAAG&#10;AAgAAAAhAAnnjUHhAAAADAEAAA8AAABkcnMvZG93bnJldi54bWxMj8FOwzAQRO9I/IO1lbhRO0BD&#10;m8apKgQnJNQ0HDg6sZtYjdchdtvw92xPcJvRPs3O5JvJ9exsxmA9SkjmApjBxmuLrYTP6u1+CSxE&#10;hVr1Ho2EHxNgU9ze5CrT/oKlOe9jyygEQ6YkdDEOGeeh6YxTYe4Hg3Q7+NGpSHZsuR7VhcJdzx+E&#10;SLlTFulDpwbz0pnmuD85CdsvLF/t90e9Kw+lraqVwPf0KOXdbNqugUUzxT8YrvWpOhTUqfYn1IH1&#10;Ep7S1YJQEmJJo65EkqSkagmLx2cBvMj5/xHFLwAAAP//AwBQSwECLQAUAAYACAAAACEAtoM4kv4A&#10;AADhAQAAEwAAAAAAAAAAAAAAAAAAAAAAW0NvbnRlbnRfVHlwZXNdLnhtbFBLAQItABQABgAIAAAA&#10;IQA4/SH/1gAAAJQBAAALAAAAAAAAAAAAAAAAAC8BAABfcmVscy8ucmVsc1BLAQItABQABgAIAAAA&#10;IQBxQMTc2gEAAJgDAAAOAAAAAAAAAAAAAAAAAC4CAABkcnMvZTJvRG9jLnhtbFBLAQItABQABgAI&#10;AAAAIQAJ541B4QAAAAwBAAAPAAAAAAAAAAAAAAAAADQEAABkcnMvZG93bnJldi54bWxQSwUGAAAA&#10;AAQABADzAAAAQgUAAAAA&#10;" filled="f" stroked="f">
                <v:textbox inset="0,0,0,0">
                  <w:txbxContent>
                    <w:p w14:paraId="0061DFD9" w14:textId="6FC1B1C8" w:rsidR="00491F7F" w:rsidRPr="0066239E" w:rsidRDefault="00F87A8A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TwLSA</w:t>
                      </w:r>
                      <w:proofErr w:type="spellEnd"/>
                      <w:r w:rsidR="00582B6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Hinweise für den Technologiewechsel C-IST an Lichtsignalanlagen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 w:rsidR="00582B6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FF4B9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Ausgabe </w:t>
                      </w:r>
                      <w:r w:rsidR="00960E2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202</w:t>
                      </w:r>
                      <w:r w:rsidR="004214C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4</w:t>
                      </w:r>
                    </w:p>
                    <w:p w14:paraId="45D53D8E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20A7537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E3AE80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16D5C" wp14:editId="7B5D293A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039FDD" wp14:editId="6618BC9F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B4339" w14:textId="77777777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C1F7A" wp14:editId="5400647C">
                                  <wp:extent cx="6902658" cy="1829434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9FDD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300B4339" w14:textId="77777777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496C1F7A" wp14:editId="5400647C">
                            <wp:extent cx="6902658" cy="1829434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0909B5" wp14:editId="1BC65ED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231A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09B5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232231A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302748" wp14:editId="665FC733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B2A9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2748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70B6B2A9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69EBC3" wp14:editId="11865176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6948F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EBC3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5366948F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EFE97E" wp14:editId="56DD678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FC2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E97E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2F6FFC2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D8ACD0" wp14:editId="416A5F1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8D0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ACD0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0AB48D0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E9953" wp14:editId="18DCBFD3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CE48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9953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549DCE48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7BDBE" wp14:editId="0EF715C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0BCC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BDBE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16B60BCC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BB236" wp14:editId="33C0949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3BED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B236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5643BED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88A9" w14:textId="77777777" w:rsidR="00F36305" w:rsidRDefault="00F36305">
      <w:r>
        <w:separator/>
      </w:r>
    </w:p>
  </w:endnote>
  <w:endnote w:type="continuationSeparator" w:id="0">
    <w:p w14:paraId="3B07FA2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EECC" w14:textId="77777777" w:rsidR="00F36305" w:rsidRDefault="00F36305">
      <w:r>
        <w:separator/>
      </w:r>
    </w:p>
  </w:footnote>
  <w:footnote w:type="continuationSeparator" w:id="0">
    <w:p w14:paraId="1E74C625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EA3C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A3AC61" wp14:editId="7218C60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BC8BB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3AC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2E1BC8BB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2BF22" wp14:editId="3C1B5019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36B93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2BF22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78536B93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1F890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50B"/>
    <w:multiLevelType w:val="hybridMultilevel"/>
    <w:tmpl w:val="8ED03374"/>
    <w:lvl w:ilvl="0" w:tplc="2E94496E">
      <w:start w:val="56"/>
      <w:numFmt w:val="bullet"/>
      <w:lvlText w:val="–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62737"/>
    <w:multiLevelType w:val="multilevel"/>
    <w:tmpl w:val="4B9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7"/>
  </w:num>
  <w:num w:numId="3" w16cid:durableId="2310860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2"/>
  </w:num>
  <w:num w:numId="5" w16cid:durableId="287662664">
    <w:abstractNumId w:val="7"/>
  </w:num>
  <w:num w:numId="6" w16cid:durableId="966549248">
    <w:abstractNumId w:val="1"/>
  </w:num>
  <w:num w:numId="7" w16cid:durableId="1530948453">
    <w:abstractNumId w:val="8"/>
  </w:num>
  <w:num w:numId="8" w16cid:durableId="1106265208">
    <w:abstractNumId w:val="4"/>
  </w:num>
  <w:num w:numId="9" w16cid:durableId="558902414">
    <w:abstractNumId w:val="2"/>
  </w:num>
  <w:num w:numId="10" w16cid:durableId="1067724377">
    <w:abstractNumId w:val="6"/>
  </w:num>
  <w:num w:numId="11" w16cid:durableId="16389616">
    <w:abstractNumId w:val="12"/>
  </w:num>
  <w:num w:numId="12" w16cid:durableId="1493371618">
    <w:abstractNumId w:val="11"/>
  </w:num>
  <w:num w:numId="13" w16cid:durableId="2005469104">
    <w:abstractNumId w:val="20"/>
  </w:num>
  <w:num w:numId="14" w16cid:durableId="1990937497">
    <w:abstractNumId w:val="16"/>
  </w:num>
  <w:num w:numId="15" w16cid:durableId="1565603201">
    <w:abstractNumId w:val="15"/>
  </w:num>
  <w:num w:numId="16" w16cid:durableId="1824196569">
    <w:abstractNumId w:val="9"/>
  </w:num>
  <w:num w:numId="17" w16cid:durableId="714744085">
    <w:abstractNumId w:val="21"/>
  </w:num>
  <w:num w:numId="18" w16cid:durableId="456989410">
    <w:abstractNumId w:val="13"/>
  </w:num>
  <w:num w:numId="19" w16cid:durableId="493646552">
    <w:abstractNumId w:val="18"/>
  </w:num>
  <w:num w:numId="20" w16cid:durableId="447241671">
    <w:abstractNumId w:val="14"/>
  </w:num>
  <w:num w:numId="21" w16cid:durableId="81418141">
    <w:abstractNumId w:val="5"/>
  </w:num>
  <w:num w:numId="22" w16cid:durableId="1053701563">
    <w:abstractNumId w:val="19"/>
  </w:num>
  <w:num w:numId="23" w16cid:durableId="248858277">
    <w:abstractNumId w:val="23"/>
  </w:num>
  <w:num w:numId="24" w16cid:durableId="2141527790">
    <w:abstractNumId w:val="10"/>
  </w:num>
  <w:num w:numId="25" w16cid:durableId="79988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0558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1E17"/>
    <w:rsid w:val="00034052"/>
    <w:rsid w:val="00034455"/>
    <w:rsid w:val="00034CCF"/>
    <w:rsid w:val="000405E9"/>
    <w:rsid w:val="00047650"/>
    <w:rsid w:val="00050808"/>
    <w:rsid w:val="00057B85"/>
    <w:rsid w:val="00057CC4"/>
    <w:rsid w:val="00060349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1E5C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4793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35C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373FA"/>
    <w:rsid w:val="00140816"/>
    <w:rsid w:val="00145283"/>
    <w:rsid w:val="00150AD8"/>
    <w:rsid w:val="00151571"/>
    <w:rsid w:val="00152471"/>
    <w:rsid w:val="001534D1"/>
    <w:rsid w:val="001551E3"/>
    <w:rsid w:val="001551F0"/>
    <w:rsid w:val="0015622A"/>
    <w:rsid w:val="00157528"/>
    <w:rsid w:val="00157D22"/>
    <w:rsid w:val="0016255B"/>
    <w:rsid w:val="00162CAB"/>
    <w:rsid w:val="0016490C"/>
    <w:rsid w:val="00165604"/>
    <w:rsid w:val="00165A58"/>
    <w:rsid w:val="00172C0F"/>
    <w:rsid w:val="00181D07"/>
    <w:rsid w:val="00183D12"/>
    <w:rsid w:val="00185EB4"/>
    <w:rsid w:val="00190F56"/>
    <w:rsid w:val="001924B5"/>
    <w:rsid w:val="00193DEC"/>
    <w:rsid w:val="00196965"/>
    <w:rsid w:val="00197419"/>
    <w:rsid w:val="001A0DC1"/>
    <w:rsid w:val="001A2A22"/>
    <w:rsid w:val="001A6B64"/>
    <w:rsid w:val="001B15BA"/>
    <w:rsid w:val="001B1C6F"/>
    <w:rsid w:val="001B7B75"/>
    <w:rsid w:val="001C3C32"/>
    <w:rsid w:val="001D1155"/>
    <w:rsid w:val="001D167E"/>
    <w:rsid w:val="001D1B15"/>
    <w:rsid w:val="001D1B47"/>
    <w:rsid w:val="001D1F90"/>
    <w:rsid w:val="001D3316"/>
    <w:rsid w:val="001D4472"/>
    <w:rsid w:val="001D44C8"/>
    <w:rsid w:val="001D5C5E"/>
    <w:rsid w:val="001E050B"/>
    <w:rsid w:val="001E6D15"/>
    <w:rsid w:val="001E7DDC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2713A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20F7"/>
    <w:rsid w:val="002C45EA"/>
    <w:rsid w:val="002C5DB9"/>
    <w:rsid w:val="002C63D9"/>
    <w:rsid w:val="002C6EFF"/>
    <w:rsid w:val="002D0619"/>
    <w:rsid w:val="002D0F15"/>
    <w:rsid w:val="002D39D4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2CF7"/>
    <w:rsid w:val="00327F6E"/>
    <w:rsid w:val="003331ED"/>
    <w:rsid w:val="00333F90"/>
    <w:rsid w:val="00335336"/>
    <w:rsid w:val="003356C5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65BB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A46AE"/>
    <w:rsid w:val="003B02DD"/>
    <w:rsid w:val="003B33DC"/>
    <w:rsid w:val="003B4244"/>
    <w:rsid w:val="003B4737"/>
    <w:rsid w:val="003B760E"/>
    <w:rsid w:val="003B77EE"/>
    <w:rsid w:val="003B78B3"/>
    <w:rsid w:val="003B7AE3"/>
    <w:rsid w:val="003B7F96"/>
    <w:rsid w:val="003C0D53"/>
    <w:rsid w:val="003C2748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1CF6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0BD8"/>
    <w:rsid w:val="00412653"/>
    <w:rsid w:val="004128D8"/>
    <w:rsid w:val="00412A9D"/>
    <w:rsid w:val="00413052"/>
    <w:rsid w:val="00414018"/>
    <w:rsid w:val="004153EE"/>
    <w:rsid w:val="00415441"/>
    <w:rsid w:val="00417307"/>
    <w:rsid w:val="004206F4"/>
    <w:rsid w:val="004214C2"/>
    <w:rsid w:val="004218A4"/>
    <w:rsid w:val="0042271E"/>
    <w:rsid w:val="004229AF"/>
    <w:rsid w:val="00422D8C"/>
    <w:rsid w:val="004243F7"/>
    <w:rsid w:val="0042566A"/>
    <w:rsid w:val="00425D9A"/>
    <w:rsid w:val="0042655D"/>
    <w:rsid w:val="0042725A"/>
    <w:rsid w:val="004272D5"/>
    <w:rsid w:val="004325E3"/>
    <w:rsid w:val="00434515"/>
    <w:rsid w:val="004359FD"/>
    <w:rsid w:val="00436F56"/>
    <w:rsid w:val="004436FA"/>
    <w:rsid w:val="004469D9"/>
    <w:rsid w:val="004521C6"/>
    <w:rsid w:val="004522DD"/>
    <w:rsid w:val="004564F9"/>
    <w:rsid w:val="00466723"/>
    <w:rsid w:val="00466A08"/>
    <w:rsid w:val="00467C52"/>
    <w:rsid w:val="004722F8"/>
    <w:rsid w:val="004734C5"/>
    <w:rsid w:val="00477786"/>
    <w:rsid w:val="004808CE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5307"/>
    <w:rsid w:val="004B7012"/>
    <w:rsid w:val="004C0B64"/>
    <w:rsid w:val="004C0FA7"/>
    <w:rsid w:val="004C2346"/>
    <w:rsid w:val="004C2F28"/>
    <w:rsid w:val="004C3F24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D7167"/>
    <w:rsid w:val="004D7EC0"/>
    <w:rsid w:val="004E0F81"/>
    <w:rsid w:val="004E22CC"/>
    <w:rsid w:val="004E2D45"/>
    <w:rsid w:val="004E2F14"/>
    <w:rsid w:val="004E4060"/>
    <w:rsid w:val="004F5D77"/>
    <w:rsid w:val="00500467"/>
    <w:rsid w:val="00500A64"/>
    <w:rsid w:val="00501532"/>
    <w:rsid w:val="00501CEB"/>
    <w:rsid w:val="005026BE"/>
    <w:rsid w:val="00503940"/>
    <w:rsid w:val="00510DF7"/>
    <w:rsid w:val="00512A44"/>
    <w:rsid w:val="00513473"/>
    <w:rsid w:val="00514419"/>
    <w:rsid w:val="00520BDD"/>
    <w:rsid w:val="00521A11"/>
    <w:rsid w:val="00522D3B"/>
    <w:rsid w:val="00523D39"/>
    <w:rsid w:val="00525BB7"/>
    <w:rsid w:val="005274C2"/>
    <w:rsid w:val="005303DF"/>
    <w:rsid w:val="00530FE4"/>
    <w:rsid w:val="00532E52"/>
    <w:rsid w:val="005346F0"/>
    <w:rsid w:val="00536CAD"/>
    <w:rsid w:val="00542D5B"/>
    <w:rsid w:val="005446AA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771DA"/>
    <w:rsid w:val="00582B6B"/>
    <w:rsid w:val="005833AB"/>
    <w:rsid w:val="00596648"/>
    <w:rsid w:val="005A42EE"/>
    <w:rsid w:val="005A5C7B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585B"/>
    <w:rsid w:val="005D5873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27A0D"/>
    <w:rsid w:val="00630E83"/>
    <w:rsid w:val="00632C58"/>
    <w:rsid w:val="006347C5"/>
    <w:rsid w:val="00642426"/>
    <w:rsid w:val="00642F0E"/>
    <w:rsid w:val="00646910"/>
    <w:rsid w:val="00647CDB"/>
    <w:rsid w:val="00651702"/>
    <w:rsid w:val="00651957"/>
    <w:rsid w:val="006535CE"/>
    <w:rsid w:val="00655B86"/>
    <w:rsid w:val="00657A97"/>
    <w:rsid w:val="00657B40"/>
    <w:rsid w:val="00661623"/>
    <w:rsid w:val="006633FD"/>
    <w:rsid w:val="00663EEF"/>
    <w:rsid w:val="006708C2"/>
    <w:rsid w:val="00671A4C"/>
    <w:rsid w:val="00674C71"/>
    <w:rsid w:val="0067526B"/>
    <w:rsid w:val="00675608"/>
    <w:rsid w:val="00675B20"/>
    <w:rsid w:val="00680548"/>
    <w:rsid w:val="00680E3C"/>
    <w:rsid w:val="006813F9"/>
    <w:rsid w:val="00681527"/>
    <w:rsid w:val="00684682"/>
    <w:rsid w:val="006849E6"/>
    <w:rsid w:val="00684F9A"/>
    <w:rsid w:val="006851D5"/>
    <w:rsid w:val="00687684"/>
    <w:rsid w:val="00691A55"/>
    <w:rsid w:val="00692425"/>
    <w:rsid w:val="006965B1"/>
    <w:rsid w:val="006A13EA"/>
    <w:rsid w:val="006A30F8"/>
    <w:rsid w:val="006A697D"/>
    <w:rsid w:val="006A6A88"/>
    <w:rsid w:val="006B00AD"/>
    <w:rsid w:val="006B062A"/>
    <w:rsid w:val="006B16AD"/>
    <w:rsid w:val="006B2943"/>
    <w:rsid w:val="006B3DCA"/>
    <w:rsid w:val="006C1977"/>
    <w:rsid w:val="006C68F6"/>
    <w:rsid w:val="006C6B37"/>
    <w:rsid w:val="006C7135"/>
    <w:rsid w:val="006D0854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071A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2FC"/>
    <w:rsid w:val="007419AC"/>
    <w:rsid w:val="0074606C"/>
    <w:rsid w:val="00747C5B"/>
    <w:rsid w:val="007534A3"/>
    <w:rsid w:val="00754809"/>
    <w:rsid w:val="00756137"/>
    <w:rsid w:val="00756B72"/>
    <w:rsid w:val="007574CD"/>
    <w:rsid w:val="00761BD7"/>
    <w:rsid w:val="00762DC4"/>
    <w:rsid w:val="007636FD"/>
    <w:rsid w:val="0076373F"/>
    <w:rsid w:val="00772156"/>
    <w:rsid w:val="00773835"/>
    <w:rsid w:val="00777421"/>
    <w:rsid w:val="007804CD"/>
    <w:rsid w:val="007828F8"/>
    <w:rsid w:val="007863F6"/>
    <w:rsid w:val="00790619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05959"/>
    <w:rsid w:val="0080681C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45E4"/>
    <w:rsid w:val="00855306"/>
    <w:rsid w:val="00855A6B"/>
    <w:rsid w:val="00855A8C"/>
    <w:rsid w:val="0086207E"/>
    <w:rsid w:val="00863425"/>
    <w:rsid w:val="008644DE"/>
    <w:rsid w:val="00865A20"/>
    <w:rsid w:val="00865E57"/>
    <w:rsid w:val="00867F2D"/>
    <w:rsid w:val="008736E0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505"/>
    <w:rsid w:val="008A2D6B"/>
    <w:rsid w:val="008A4DE6"/>
    <w:rsid w:val="008A5BFD"/>
    <w:rsid w:val="008A65E9"/>
    <w:rsid w:val="008A7A43"/>
    <w:rsid w:val="008B0070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7D7"/>
    <w:rsid w:val="008E2987"/>
    <w:rsid w:val="008E2B4D"/>
    <w:rsid w:val="008E3EA4"/>
    <w:rsid w:val="008E6018"/>
    <w:rsid w:val="008E6B55"/>
    <w:rsid w:val="008F021E"/>
    <w:rsid w:val="008F0252"/>
    <w:rsid w:val="008F1A04"/>
    <w:rsid w:val="008F1AA2"/>
    <w:rsid w:val="008F23BC"/>
    <w:rsid w:val="008F43EF"/>
    <w:rsid w:val="008F5E24"/>
    <w:rsid w:val="008F7610"/>
    <w:rsid w:val="008F7C95"/>
    <w:rsid w:val="00901F3A"/>
    <w:rsid w:val="009020A9"/>
    <w:rsid w:val="0090422A"/>
    <w:rsid w:val="00907E42"/>
    <w:rsid w:val="00911ED8"/>
    <w:rsid w:val="00914E54"/>
    <w:rsid w:val="00915D28"/>
    <w:rsid w:val="009169F7"/>
    <w:rsid w:val="009170EE"/>
    <w:rsid w:val="0092429E"/>
    <w:rsid w:val="00924806"/>
    <w:rsid w:val="009254F0"/>
    <w:rsid w:val="0092673F"/>
    <w:rsid w:val="0093040A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0E27"/>
    <w:rsid w:val="009638C9"/>
    <w:rsid w:val="00966D00"/>
    <w:rsid w:val="009709AD"/>
    <w:rsid w:val="00971C46"/>
    <w:rsid w:val="00972A97"/>
    <w:rsid w:val="009821D3"/>
    <w:rsid w:val="00983260"/>
    <w:rsid w:val="00990335"/>
    <w:rsid w:val="00990D9F"/>
    <w:rsid w:val="009915D8"/>
    <w:rsid w:val="009931B5"/>
    <w:rsid w:val="00993E41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C6FE5"/>
    <w:rsid w:val="009D2C35"/>
    <w:rsid w:val="009E051F"/>
    <w:rsid w:val="009E398A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05"/>
    <w:rsid w:val="00A1105D"/>
    <w:rsid w:val="00A11E0E"/>
    <w:rsid w:val="00A139CC"/>
    <w:rsid w:val="00A202AB"/>
    <w:rsid w:val="00A21A6B"/>
    <w:rsid w:val="00A23FC5"/>
    <w:rsid w:val="00A27E98"/>
    <w:rsid w:val="00A30933"/>
    <w:rsid w:val="00A31509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52C44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54A6"/>
    <w:rsid w:val="00AC61E2"/>
    <w:rsid w:val="00AC769C"/>
    <w:rsid w:val="00AD2BF4"/>
    <w:rsid w:val="00AE48BE"/>
    <w:rsid w:val="00AE6D5D"/>
    <w:rsid w:val="00AF2CE2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22824"/>
    <w:rsid w:val="00B30622"/>
    <w:rsid w:val="00B31A41"/>
    <w:rsid w:val="00B35375"/>
    <w:rsid w:val="00B36342"/>
    <w:rsid w:val="00B42E4E"/>
    <w:rsid w:val="00B43711"/>
    <w:rsid w:val="00B5057E"/>
    <w:rsid w:val="00B52636"/>
    <w:rsid w:val="00B573A7"/>
    <w:rsid w:val="00B573E6"/>
    <w:rsid w:val="00B60DCB"/>
    <w:rsid w:val="00B6268F"/>
    <w:rsid w:val="00B62B37"/>
    <w:rsid w:val="00B62F72"/>
    <w:rsid w:val="00B6332D"/>
    <w:rsid w:val="00B66228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87A64"/>
    <w:rsid w:val="00BA18EA"/>
    <w:rsid w:val="00BA2025"/>
    <w:rsid w:val="00BA462D"/>
    <w:rsid w:val="00BA7313"/>
    <w:rsid w:val="00BA7A8F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D5AF6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0F0"/>
    <w:rsid w:val="00C1736F"/>
    <w:rsid w:val="00C201FB"/>
    <w:rsid w:val="00C2503E"/>
    <w:rsid w:val="00C25DDC"/>
    <w:rsid w:val="00C267D5"/>
    <w:rsid w:val="00C33834"/>
    <w:rsid w:val="00C34066"/>
    <w:rsid w:val="00C3467C"/>
    <w:rsid w:val="00C3519B"/>
    <w:rsid w:val="00C36F4A"/>
    <w:rsid w:val="00C37098"/>
    <w:rsid w:val="00C371B6"/>
    <w:rsid w:val="00C379B2"/>
    <w:rsid w:val="00C422A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1A0C"/>
    <w:rsid w:val="00C7577E"/>
    <w:rsid w:val="00C779B8"/>
    <w:rsid w:val="00C82DAE"/>
    <w:rsid w:val="00C830E9"/>
    <w:rsid w:val="00C86675"/>
    <w:rsid w:val="00C869CC"/>
    <w:rsid w:val="00C871FE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C7B5C"/>
    <w:rsid w:val="00CD4196"/>
    <w:rsid w:val="00CD76E8"/>
    <w:rsid w:val="00CD77A1"/>
    <w:rsid w:val="00CE1778"/>
    <w:rsid w:val="00CE1F68"/>
    <w:rsid w:val="00CE5B66"/>
    <w:rsid w:val="00CE6943"/>
    <w:rsid w:val="00CF206C"/>
    <w:rsid w:val="00CF3BBD"/>
    <w:rsid w:val="00CF440E"/>
    <w:rsid w:val="00CF4E8D"/>
    <w:rsid w:val="00D030A6"/>
    <w:rsid w:val="00D04A71"/>
    <w:rsid w:val="00D0592A"/>
    <w:rsid w:val="00D06CEA"/>
    <w:rsid w:val="00D0798F"/>
    <w:rsid w:val="00D101CC"/>
    <w:rsid w:val="00D1247D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44BB8"/>
    <w:rsid w:val="00D50B45"/>
    <w:rsid w:val="00D51593"/>
    <w:rsid w:val="00D5189C"/>
    <w:rsid w:val="00D542C4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2FA5"/>
    <w:rsid w:val="00D83222"/>
    <w:rsid w:val="00D84AD0"/>
    <w:rsid w:val="00D87027"/>
    <w:rsid w:val="00D90803"/>
    <w:rsid w:val="00D91FAD"/>
    <w:rsid w:val="00DA23E7"/>
    <w:rsid w:val="00DA34CD"/>
    <w:rsid w:val="00DA67B0"/>
    <w:rsid w:val="00DB1538"/>
    <w:rsid w:val="00DB39E7"/>
    <w:rsid w:val="00DB566F"/>
    <w:rsid w:val="00DB79FA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D6290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0E72"/>
    <w:rsid w:val="00DF3F8D"/>
    <w:rsid w:val="00DF5A31"/>
    <w:rsid w:val="00DF65F5"/>
    <w:rsid w:val="00DF7DE7"/>
    <w:rsid w:val="00E01540"/>
    <w:rsid w:val="00E02BE9"/>
    <w:rsid w:val="00E03553"/>
    <w:rsid w:val="00E05C96"/>
    <w:rsid w:val="00E06574"/>
    <w:rsid w:val="00E108F6"/>
    <w:rsid w:val="00E2011D"/>
    <w:rsid w:val="00E27B0B"/>
    <w:rsid w:val="00E302C3"/>
    <w:rsid w:val="00E30AC3"/>
    <w:rsid w:val="00E34182"/>
    <w:rsid w:val="00E34D07"/>
    <w:rsid w:val="00E34E9A"/>
    <w:rsid w:val="00E40932"/>
    <w:rsid w:val="00E40DF5"/>
    <w:rsid w:val="00E43D09"/>
    <w:rsid w:val="00E46E63"/>
    <w:rsid w:val="00E4706A"/>
    <w:rsid w:val="00E5106D"/>
    <w:rsid w:val="00E51778"/>
    <w:rsid w:val="00E52CB7"/>
    <w:rsid w:val="00E54E5C"/>
    <w:rsid w:val="00E56C02"/>
    <w:rsid w:val="00E577BB"/>
    <w:rsid w:val="00E63500"/>
    <w:rsid w:val="00E658DF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2892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1BD4"/>
    <w:rsid w:val="00F0239A"/>
    <w:rsid w:val="00F031F4"/>
    <w:rsid w:val="00F05923"/>
    <w:rsid w:val="00F06FE3"/>
    <w:rsid w:val="00F11F6C"/>
    <w:rsid w:val="00F14191"/>
    <w:rsid w:val="00F14622"/>
    <w:rsid w:val="00F1681B"/>
    <w:rsid w:val="00F23869"/>
    <w:rsid w:val="00F259FF"/>
    <w:rsid w:val="00F25E1B"/>
    <w:rsid w:val="00F26C57"/>
    <w:rsid w:val="00F27A65"/>
    <w:rsid w:val="00F27C28"/>
    <w:rsid w:val="00F27E84"/>
    <w:rsid w:val="00F30429"/>
    <w:rsid w:val="00F30A07"/>
    <w:rsid w:val="00F3156A"/>
    <w:rsid w:val="00F31D99"/>
    <w:rsid w:val="00F347DC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139B"/>
    <w:rsid w:val="00F63392"/>
    <w:rsid w:val="00F63ADC"/>
    <w:rsid w:val="00F64A9D"/>
    <w:rsid w:val="00F658D1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20E"/>
    <w:rsid w:val="00F83EF8"/>
    <w:rsid w:val="00F87214"/>
    <w:rsid w:val="00F87407"/>
    <w:rsid w:val="00F8753E"/>
    <w:rsid w:val="00F87660"/>
    <w:rsid w:val="00F87A8A"/>
    <w:rsid w:val="00F915AD"/>
    <w:rsid w:val="00F91F58"/>
    <w:rsid w:val="00F96D41"/>
    <w:rsid w:val="00F97B44"/>
    <w:rsid w:val="00F97E8A"/>
    <w:rsid w:val="00FA182C"/>
    <w:rsid w:val="00FA3E5A"/>
    <w:rsid w:val="00FB13B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4B93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50B5C68E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558</cp:revision>
  <cp:lastPrinted>2024-08-16T12:39:00Z</cp:lastPrinted>
  <dcterms:created xsi:type="dcterms:W3CDTF">2020-06-23T09:12:00Z</dcterms:created>
  <dcterms:modified xsi:type="dcterms:W3CDTF">2024-12-09T15:16:00Z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