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C72752C" w:rsidR="00854188" w:rsidRPr="00BE0FFC" w:rsidRDefault="00CE1F68"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01A26E73">
                <wp:simplePos x="0" y="0"/>
                <wp:positionH relativeFrom="page">
                  <wp:posOffset>352425</wp:posOffset>
                </wp:positionH>
                <wp:positionV relativeFrom="page">
                  <wp:posOffset>2495550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477C11E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E747C">
                              <w:rPr>
                                <w:rFonts w:ascii="DIN Pro" w:hAnsi="DIN Pro"/>
                                <w:sz w:val="20"/>
                                <w:szCs w:val="20"/>
                              </w:rPr>
                              <w:t>0</w:t>
                            </w:r>
                            <w:r w:rsidR="001A6B64">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1A6B6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196.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" filled="f" stroked="f">
                <v:textbox style="mso-fit-shape-to-text:t" inset=",0,,0">
                  <w:txbxContent>
                    <w:p w14:paraId="4B7F21A1" w14:textId="477C11E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3E747C">
                        <w:rPr>
                          <w:rFonts w:ascii="DIN Pro" w:hAnsi="DIN Pro"/>
                          <w:sz w:val="20"/>
                          <w:szCs w:val="20"/>
                        </w:rPr>
                        <w:t>0</w:t>
                      </w:r>
                      <w:r w:rsidR="001A6B64">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1A6B6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1D168821">
                <wp:simplePos x="0" y="0"/>
                <wp:positionH relativeFrom="page">
                  <wp:posOffset>2971800</wp:posOffset>
                </wp:positionH>
                <wp:positionV relativeFrom="page">
                  <wp:posOffset>2466975</wp:posOffset>
                </wp:positionV>
                <wp:extent cx="4105275" cy="6953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45958AF6" w:rsidR="00050808" w:rsidRPr="005612C3" w:rsidRDefault="004104BE"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AP EADA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Arbeitspapier Ermittlung von Anpassungs- und Sicherheitsfaktoren für die Dimensionierung von</w:t>
                            </w:r>
                            <w:r>
                              <w:rPr>
                                <w:rFonts w:ascii="DIN Pro" w:hAnsi="DIN Pro"/>
                                <w:color w:val="31849B" w:themeColor="accent5" w:themeShade="BF"/>
                                <w:sz w:val="24"/>
                                <w:szCs w:val="24"/>
                              </w:rPr>
                              <w:br/>
                              <w:t>Asphaltbefestigungen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pt;margin-top:194.25pt;width:323.25pt;height:54.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" filled="f" stroked="f">
                <v:textbox inset="0,0,0,0">
                  <w:txbxContent>
                    <w:p w14:paraId="35762754" w14:textId="45958AF6" w:rsidR="00050808" w:rsidRPr="005612C3" w:rsidRDefault="004104BE"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AP EADA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Arbeitspapier Ermittlung von Anpassungs- und Sicherheitsfaktoren für die Dimensionierung von</w:t>
                      </w:r>
                      <w:r>
                        <w:rPr>
                          <w:rFonts w:ascii="DIN Pro" w:hAnsi="DIN Pro"/>
                          <w:color w:val="31849B" w:themeColor="accent5" w:themeShade="BF"/>
                          <w:sz w:val="24"/>
                          <w:szCs w:val="24"/>
                        </w:rPr>
                        <w:br/>
                        <w:t>Asphaltbefestigungen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9C3EAE7">
                <wp:simplePos x="0" y="0"/>
                <wp:positionH relativeFrom="page">
                  <wp:posOffset>342900</wp:posOffset>
                </wp:positionH>
                <wp:positionV relativeFrom="page">
                  <wp:posOffset>3238500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16EC93F9" w:rsidR="00AE48BE" w:rsidRPr="00915D28" w:rsidRDefault="001A6B64" w:rsidP="00800B85">
                            <w:pPr>
                              <w:pStyle w:val="berschrift1"/>
                              <w:rPr>
                                <w:rFonts w:ascii="DIN Pro" w:hAnsi="DIN Pro" w:cs="Helvetica"/>
                                <w:sz w:val="24"/>
                                <w:szCs w:val="24"/>
                              </w:rPr>
                            </w:pPr>
                            <w:r>
                              <w:rPr>
                                <w:rFonts w:ascii="DIN Pro" w:hAnsi="DIN Pro" w:cs="Helvetica"/>
                                <w:sz w:val="24"/>
                                <w:szCs w:val="24"/>
                              </w:rPr>
                              <w:t>AP EADA</w:t>
                            </w:r>
                            <w:r w:rsidR="00A33DE3">
                              <w:rPr>
                                <w:rFonts w:ascii="DIN Pro" w:hAnsi="DIN Pro" w:cs="Helvetica"/>
                                <w:sz w:val="24"/>
                                <w:szCs w:val="24"/>
                              </w:rPr>
                              <w:t>,</w:t>
                            </w:r>
                            <w:r w:rsidR="00615B9E">
                              <w:rPr>
                                <w:rFonts w:ascii="DIN Pro" w:hAnsi="DIN Pro" w:cs="Helvetica"/>
                                <w:sz w:val="24"/>
                                <w:szCs w:val="24"/>
                              </w:rPr>
                              <w:t xml:space="preserve"> 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1471A31" w:rsidR="00F739C5" w:rsidRPr="00715586" w:rsidRDefault="001A6B6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0A7BC4">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4D8A1B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A6B64">
                              <w:rPr>
                                <w:rStyle w:val="InhaltsverzeichnisNummerZeichen"/>
                                <w:rFonts w:ascii="DIN Pro" w:hAnsi="DIN Pro" w:cs="Helvetica"/>
                                <w:color w:val="auto"/>
                                <w:sz w:val="20"/>
                                <w:szCs w:val="20"/>
                              </w:rPr>
                              <w:t>498/3</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5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" filled="f" stroked="f" strokecolor="#c30">
                <v:textbox>
                  <w:txbxContent>
                    <w:p w14:paraId="0D6C6BB0" w14:textId="16EC93F9" w:rsidR="00AE48BE" w:rsidRPr="00915D28" w:rsidRDefault="001A6B64" w:rsidP="00800B85">
                      <w:pPr>
                        <w:pStyle w:val="berschrift1"/>
                        <w:rPr>
                          <w:rFonts w:ascii="DIN Pro" w:hAnsi="DIN Pro" w:cs="Helvetica"/>
                          <w:sz w:val="24"/>
                          <w:szCs w:val="24"/>
                        </w:rPr>
                      </w:pPr>
                      <w:r>
                        <w:rPr>
                          <w:rFonts w:ascii="DIN Pro" w:hAnsi="DIN Pro" w:cs="Helvetica"/>
                          <w:sz w:val="24"/>
                          <w:szCs w:val="24"/>
                        </w:rPr>
                        <w:t>AP EADA</w:t>
                      </w:r>
                      <w:r w:rsidR="00A33DE3">
                        <w:rPr>
                          <w:rFonts w:ascii="DIN Pro" w:hAnsi="DIN Pro" w:cs="Helvetica"/>
                          <w:sz w:val="24"/>
                          <w:szCs w:val="24"/>
                        </w:rPr>
                        <w:t>,</w:t>
                      </w:r>
                      <w:r w:rsidR="00615B9E">
                        <w:rPr>
                          <w:rFonts w:ascii="DIN Pro" w:hAnsi="DIN Pro" w:cs="Helvetica"/>
                          <w:sz w:val="24"/>
                          <w:szCs w:val="24"/>
                        </w:rPr>
                        <w:t xml:space="preserve"> 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1471A31" w:rsidR="00F739C5" w:rsidRPr="00715586" w:rsidRDefault="001A6B6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0A7BC4">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12</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4D8A1BE"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A6B64">
                        <w:rPr>
                          <w:rStyle w:val="InhaltsverzeichnisNummerZeichen"/>
                          <w:rFonts w:ascii="DIN Pro" w:hAnsi="DIN Pro" w:cs="Helvetica"/>
                          <w:color w:val="auto"/>
                          <w:sz w:val="20"/>
                          <w:szCs w:val="20"/>
                        </w:rPr>
                        <w:t>498/3</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C179CAC">
                <wp:simplePos x="0" y="0"/>
                <wp:positionH relativeFrom="page">
                  <wp:posOffset>457200</wp:posOffset>
                </wp:positionH>
                <wp:positionV relativeFrom="page">
                  <wp:posOffset>8305800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54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60E25CF5">
                <wp:simplePos x="0" y="0"/>
                <wp:positionH relativeFrom="page">
                  <wp:posOffset>323850</wp:posOffset>
                </wp:positionH>
                <wp:positionV relativeFrom="page">
                  <wp:posOffset>6076950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478.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Lq5QEAAKkDAAAOAAAAZHJzL2Uyb0RvYy54bWysU9tu1DAQfUfiHyy/s7koS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67150130">
                <wp:simplePos x="0" y="0"/>
                <wp:positionH relativeFrom="page">
                  <wp:posOffset>2971800</wp:posOffset>
                </wp:positionH>
                <wp:positionV relativeFrom="margin">
                  <wp:posOffset>2342515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0B0F6B5E" w:rsidR="00D75A16" w:rsidRPr="00BA462D" w:rsidRDefault="00D75A16" w:rsidP="00165A58">
                            <w:pPr>
                              <w:pStyle w:val="StandardWeb"/>
                              <w:rPr>
                                <w:rFonts w:asciiTheme="majorHAnsi" w:hAnsiTheme="majorHAnsi"/>
                                <w:sz w:val="22"/>
                                <w:szCs w:val="22"/>
                              </w:rPr>
                            </w:pPr>
                            <w:r w:rsidRPr="00BA462D">
                              <w:rPr>
                                <w:rFonts w:asciiTheme="majorHAnsi" w:hAnsiTheme="majorHAnsi" w:cs="Arial"/>
                                <w:sz w:val="22"/>
                                <w:szCs w:val="22"/>
                              </w:rPr>
                              <w:t>Die Forschungsgesellschaft für Straßen- und Verkehrswesen</w:t>
                            </w:r>
                            <w:r w:rsidR="008C3731" w:rsidRPr="00BA462D">
                              <w:rPr>
                                <w:rFonts w:asciiTheme="majorHAnsi" w:hAnsiTheme="majorHAnsi" w:cs="Arial"/>
                                <w:sz w:val="22"/>
                                <w:szCs w:val="22"/>
                              </w:rPr>
                              <w:t xml:space="preserve"> </w:t>
                            </w:r>
                            <w:r w:rsidR="0093546B" w:rsidRPr="00BA462D">
                              <w:rPr>
                                <w:rFonts w:asciiTheme="majorHAnsi" w:hAnsiTheme="majorHAnsi" w:cs="Arial"/>
                                <w:sz w:val="22"/>
                                <w:szCs w:val="22"/>
                              </w:rPr>
                              <w:t xml:space="preserve">(FGSV) </w:t>
                            </w:r>
                            <w:r w:rsidRPr="00BA462D">
                              <w:rPr>
                                <w:rFonts w:asciiTheme="majorHAnsi" w:hAnsiTheme="majorHAnsi" w:cs="Arial"/>
                                <w:sz w:val="22"/>
                                <w:szCs w:val="22"/>
                              </w:rPr>
                              <w:t>hat d</w:t>
                            </w:r>
                            <w:r w:rsidR="00203545">
                              <w:rPr>
                                <w:rFonts w:asciiTheme="majorHAnsi" w:hAnsiTheme="majorHAnsi" w:cs="Arial"/>
                                <w:sz w:val="22"/>
                                <w:szCs w:val="22"/>
                              </w:rPr>
                              <w:t>as</w:t>
                            </w:r>
                            <w:r w:rsidRPr="00BA462D">
                              <w:rPr>
                                <w:rFonts w:asciiTheme="majorHAnsi" w:hAnsiTheme="majorHAnsi" w:cs="Arial"/>
                                <w:sz w:val="22"/>
                                <w:szCs w:val="22"/>
                              </w:rPr>
                              <w:t xml:space="preserve"> „</w:t>
                            </w:r>
                            <w:r w:rsidR="005672E3">
                              <w:rPr>
                                <w:rFonts w:asciiTheme="majorHAnsi" w:hAnsiTheme="majorHAnsi"/>
                                <w:sz w:val="22"/>
                                <w:szCs w:val="22"/>
                              </w:rPr>
                              <w:t>Arbeitspapier Ermittlung von Anpassungs- und</w:t>
                            </w:r>
                            <w:r w:rsidR="00816121">
                              <w:rPr>
                                <w:rFonts w:asciiTheme="majorHAnsi" w:hAnsiTheme="majorHAnsi"/>
                                <w:sz w:val="22"/>
                                <w:szCs w:val="22"/>
                              </w:rPr>
                              <w:br/>
                            </w:r>
                            <w:r w:rsidR="005672E3">
                              <w:rPr>
                                <w:rFonts w:asciiTheme="majorHAnsi" w:hAnsiTheme="majorHAnsi"/>
                                <w:sz w:val="22"/>
                                <w:szCs w:val="22"/>
                              </w:rPr>
                              <w:t>Sicherheitsfaktoren für die Dimensionierung von Asphaltbefestigungen</w:t>
                            </w:r>
                            <w:r w:rsidR="00E46E63" w:rsidRPr="00BA462D">
                              <w:rPr>
                                <w:rFonts w:asciiTheme="majorHAnsi" w:hAnsiTheme="majorHAnsi"/>
                                <w:sz w:val="22"/>
                                <w:szCs w:val="22"/>
                              </w:rPr>
                              <w:t xml:space="preserve"> </w:t>
                            </w:r>
                            <w:r w:rsidRPr="00BA462D">
                              <w:rPr>
                                <w:rFonts w:asciiTheme="majorHAnsi" w:hAnsiTheme="majorHAnsi"/>
                                <w:sz w:val="22"/>
                                <w:szCs w:val="22"/>
                              </w:rPr>
                              <w:t>(</w:t>
                            </w:r>
                            <w:r w:rsidR="005672E3">
                              <w:rPr>
                                <w:rFonts w:asciiTheme="majorHAnsi" w:hAnsiTheme="majorHAnsi"/>
                                <w:sz w:val="22"/>
                                <w:szCs w:val="22"/>
                              </w:rPr>
                              <w:t>AP EADA</w:t>
                            </w:r>
                            <w:r w:rsidRPr="00BA462D">
                              <w:rPr>
                                <w:rFonts w:asciiTheme="majorHAnsi" w:hAnsiTheme="majorHAnsi"/>
                                <w:sz w:val="22"/>
                                <w:szCs w:val="22"/>
                              </w:rPr>
                              <w:t>)“</w:t>
                            </w:r>
                            <w:r w:rsidR="008C3731" w:rsidRPr="00BA462D">
                              <w:rPr>
                                <w:rFonts w:asciiTheme="majorHAnsi" w:hAnsiTheme="majorHAnsi"/>
                                <w:sz w:val="22"/>
                                <w:szCs w:val="22"/>
                              </w:rPr>
                              <w:t xml:space="preserve"> </w:t>
                            </w:r>
                            <w:r w:rsidRPr="00BA462D">
                              <w:rPr>
                                <w:rFonts w:asciiTheme="majorHAnsi" w:hAnsiTheme="majorHAnsi" w:cs="Arial"/>
                                <w:sz w:val="22"/>
                                <w:szCs w:val="22"/>
                              </w:rPr>
                              <w:t xml:space="preserve">(FGSV </w:t>
                            </w:r>
                            <w:r w:rsidR="005672E3">
                              <w:rPr>
                                <w:rFonts w:asciiTheme="majorHAnsi" w:hAnsiTheme="majorHAnsi" w:cs="Arial"/>
                                <w:sz w:val="22"/>
                                <w:szCs w:val="22"/>
                              </w:rPr>
                              <w:t>498/3</w:t>
                            </w:r>
                            <w:r w:rsidRPr="00BA462D">
                              <w:rPr>
                                <w:rFonts w:asciiTheme="majorHAnsi" w:hAnsiTheme="majorHAnsi" w:cs="Arial"/>
                                <w:sz w:val="22"/>
                                <w:szCs w:val="22"/>
                              </w:rPr>
                              <w:t>)</w:t>
                            </w:r>
                            <w:r w:rsidR="00E46E63" w:rsidRPr="00BA462D">
                              <w:rPr>
                                <w:rFonts w:asciiTheme="majorHAnsi" w:hAnsiTheme="majorHAnsi" w:cs="Arial"/>
                                <w:sz w:val="22"/>
                                <w:szCs w:val="22"/>
                              </w:rPr>
                              <w:t xml:space="preserve"> </w:t>
                            </w:r>
                            <w:r w:rsidRPr="00BA462D">
                              <w:rPr>
                                <w:rFonts w:asciiTheme="majorHAnsi" w:hAnsiTheme="majorHAnsi" w:cs="Arial"/>
                                <w:sz w:val="22"/>
                                <w:szCs w:val="22"/>
                              </w:rPr>
                              <w:t>mit einer Ausgabe 202</w:t>
                            </w:r>
                            <w:r w:rsidR="005672E3">
                              <w:rPr>
                                <w:rFonts w:asciiTheme="majorHAnsi" w:hAnsiTheme="majorHAnsi" w:cs="Arial"/>
                                <w:sz w:val="22"/>
                                <w:szCs w:val="22"/>
                              </w:rPr>
                              <w:t>2</w:t>
                            </w:r>
                            <w:r w:rsidRPr="00BA462D">
                              <w:rPr>
                                <w:rFonts w:asciiTheme="majorHAnsi" w:hAnsiTheme="majorHAnsi" w:cs="Arial"/>
                                <w:sz w:val="22"/>
                                <w:szCs w:val="22"/>
                              </w:rPr>
                              <w:t xml:space="preserve"> herausgegeben. </w:t>
                            </w:r>
                            <w:r w:rsidR="0093546B" w:rsidRPr="00BA462D">
                              <w:rPr>
                                <w:rFonts w:asciiTheme="majorHAnsi" w:hAnsiTheme="majorHAnsi" w:cs="Arial"/>
                                <w:sz w:val="22"/>
                                <w:szCs w:val="22"/>
                              </w:rPr>
                              <w:t xml:space="preserve">Der </w:t>
                            </w:r>
                            <w:r w:rsidRPr="00BA462D">
                              <w:rPr>
                                <w:rFonts w:asciiTheme="majorHAnsi" w:hAnsiTheme="majorHAnsi" w:cs="Arial"/>
                                <w:sz w:val="22"/>
                                <w:szCs w:val="22"/>
                              </w:rPr>
                              <w:t xml:space="preserve">Bezugspreis ist </w:t>
                            </w:r>
                            <w:r w:rsidR="005672E3">
                              <w:rPr>
                                <w:rFonts w:asciiTheme="majorHAnsi" w:hAnsiTheme="majorHAnsi" w:cs="Arial"/>
                                <w:sz w:val="22"/>
                                <w:szCs w:val="22"/>
                              </w:rPr>
                              <w:t>12</w:t>
                            </w:r>
                            <w:r w:rsidRPr="00BA462D">
                              <w:rPr>
                                <w:rFonts w:asciiTheme="majorHAnsi" w:hAnsiTheme="majorHAnsi" w:cs="Arial"/>
                                <w:sz w:val="22"/>
                                <w:szCs w:val="22"/>
                              </w:rPr>
                              <w:t>,</w:t>
                            </w:r>
                            <w:r w:rsidR="005672E3">
                              <w:rPr>
                                <w:rFonts w:asciiTheme="majorHAnsi" w:hAnsiTheme="majorHAnsi" w:cs="Arial"/>
                                <w:sz w:val="22"/>
                                <w:szCs w:val="22"/>
                              </w:rPr>
                              <w:t>6</w:t>
                            </w:r>
                            <w:r w:rsidRPr="00BA462D">
                              <w:rPr>
                                <w:rFonts w:asciiTheme="majorHAnsi" w:hAnsiTheme="majorHAnsi" w:cs="Arial"/>
                                <w:sz w:val="22"/>
                                <w:szCs w:val="22"/>
                              </w:rPr>
                              <w:t>0 EUR (FGSV-Mitglieder erhalten einen Rabatt von 30 %).</w:t>
                            </w:r>
                          </w:p>
                          <w:p w14:paraId="6A554F39" w14:textId="1C1F2668" w:rsidR="00816121" w:rsidRPr="00816121" w:rsidRDefault="00816121" w:rsidP="00816121">
                            <w:pPr>
                              <w:pStyle w:val="StandardWeb"/>
                              <w:rPr>
                                <w:rFonts w:asciiTheme="majorHAnsi" w:hAnsiTheme="majorHAnsi"/>
                                <w:sz w:val="22"/>
                                <w:szCs w:val="22"/>
                              </w:rPr>
                            </w:pPr>
                            <w:r w:rsidRPr="00816121">
                              <w:rPr>
                                <w:rFonts w:asciiTheme="majorHAnsi" w:hAnsiTheme="majorHAnsi"/>
                                <w:sz w:val="22"/>
                                <w:szCs w:val="22"/>
                              </w:rPr>
                              <w:t>Die Anpassungsfaktoren (ehemals Sicherheitsbeiwerte) aus dem AP EADA werden für die rechnerischen Dimensionierungs- und Prognoseverfahren benötigt.</w:t>
                            </w:r>
                            <w:r>
                              <w:rPr>
                                <w:rFonts w:asciiTheme="majorHAnsi" w:hAnsiTheme="majorHAnsi"/>
                                <w:sz w:val="22"/>
                                <w:szCs w:val="22"/>
                              </w:rPr>
                              <w:br/>
                            </w:r>
                            <w:r w:rsidRPr="00816121">
                              <w:rPr>
                                <w:rFonts w:asciiTheme="majorHAnsi" w:hAnsiTheme="majorHAnsi"/>
                                <w:sz w:val="22"/>
                                <w:szCs w:val="22"/>
                              </w:rPr>
                              <w:t xml:space="preserve">So werden die im Labor bestimmten </w:t>
                            </w:r>
                            <w:r w:rsidRPr="00816121">
                              <w:rPr>
                                <w:rStyle w:val="Fett"/>
                                <w:rFonts w:asciiTheme="majorHAnsi" w:hAnsiTheme="majorHAnsi"/>
                                <w:b w:val="0"/>
                                <w:bCs w:val="0"/>
                                <w:sz w:val="22"/>
                                <w:szCs w:val="22"/>
                              </w:rPr>
                              <w:t>Materialparameter</w:t>
                            </w:r>
                            <w:r w:rsidRPr="00816121">
                              <w:rPr>
                                <w:rFonts w:asciiTheme="majorHAnsi" w:hAnsiTheme="majorHAnsi"/>
                                <w:sz w:val="22"/>
                                <w:szCs w:val="22"/>
                              </w:rPr>
                              <w:t xml:space="preserve"> der </w:t>
                            </w:r>
                            <w:r>
                              <w:rPr>
                                <w:rFonts w:asciiTheme="majorHAnsi" w:hAnsiTheme="majorHAnsi"/>
                                <w:sz w:val="22"/>
                                <w:szCs w:val="22"/>
                              </w:rPr>
                              <w:br/>
                            </w:r>
                            <w:r w:rsidRPr="00816121">
                              <w:rPr>
                                <w:rFonts w:asciiTheme="majorHAnsi" w:hAnsiTheme="majorHAnsi"/>
                                <w:sz w:val="22"/>
                                <w:szCs w:val="22"/>
                              </w:rPr>
                              <w:t>Asphalte, die mit zeitraffenden Untersuchungsmethoden bestimmt werden, auf die reale Beanspruchungssituation im Oberbau übertragen. Ein Sicherheitsniveau vergleichbar zu den RStO 12 (Richtlinien für die Standardisierung des Oberbaus von Verkehrsflächen, FGSV 499) wird so sichergestellt.</w:t>
                            </w:r>
                            <w:r w:rsidR="008D1342">
                              <w:rPr>
                                <w:rFonts w:asciiTheme="majorHAnsi" w:hAnsiTheme="majorHAnsi"/>
                                <w:sz w:val="22"/>
                                <w:szCs w:val="22"/>
                              </w:rPr>
                              <w:br/>
                            </w:r>
                            <w:r>
                              <w:rPr>
                                <w:rFonts w:asciiTheme="majorHAnsi" w:hAnsiTheme="majorHAnsi"/>
                                <w:sz w:val="22"/>
                                <w:szCs w:val="22"/>
                              </w:rPr>
                              <w:br/>
                            </w:r>
                            <w:r w:rsidRPr="00816121">
                              <w:rPr>
                                <w:rFonts w:asciiTheme="majorHAnsi" w:hAnsiTheme="majorHAnsi"/>
                                <w:sz w:val="22"/>
                                <w:szCs w:val="22"/>
                              </w:rPr>
                              <w:t>Das Grundkonzept für die Bestimmung der Anpassungsfaktoren besteht darin, unter Kalibrierbedingungen für eine rechnerische Nutzungsdauer von 30 Jahren für Konstruktionsaufbauten mit Schichtdicken entsprechend den RStO 12 den rechnerischen Nachweis nach den RDO Asphalt (Richtlinien für die rechnerische</w:t>
                            </w:r>
                            <w:r>
                              <w:rPr>
                                <w:rFonts w:asciiTheme="majorHAnsi" w:hAnsiTheme="majorHAnsi"/>
                                <w:sz w:val="22"/>
                                <w:szCs w:val="22"/>
                              </w:rPr>
                              <w:br/>
                            </w:r>
                            <w:r w:rsidRPr="00816121">
                              <w:rPr>
                                <w:rFonts w:asciiTheme="majorHAnsi" w:hAnsiTheme="majorHAnsi"/>
                                <w:sz w:val="22"/>
                                <w:szCs w:val="22"/>
                              </w:rPr>
                              <w:t xml:space="preserve">Dimensionierung des Oberbaus von Verkehrsflächen mit Asphaltdeckschicht, FGSV 498) erfüllen zu können. </w:t>
                            </w:r>
                            <w:r>
                              <w:rPr>
                                <w:rFonts w:asciiTheme="majorHAnsi" w:hAnsiTheme="majorHAnsi"/>
                                <w:sz w:val="22"/>
                                <w:szCs w:val="22"/>
                              </w:rPr>
                              <w:br/>
                            </w:r>
                            <w:r w:rsidR="008D1342">
                              <w:rPr>
                                <w:rFonts w:asciiTheme="majorHAnsi" w:hAnsiTheme="majorHAnsi"/>
                                <w:sz w:val="22"/>
                                <w:szCs w:val="22"/>
                              </w:rPr>
                              <w:br/>
                            </w:r>
                            <w:r w:rsidRPr="00816121">
                              <w:rPr>
                                <w:rFonts w:asciiTheme="majorHAnsi" w:hAnsiTheme="majorHAnsi"/>
                                <w:sz w:val="22"/>
                                <w:szCs w:val="22"/>
                              </w:rPr>
                              <w:t>Die Kalibrierbedingungen beinhalten dabei:</w:t>
                            </w:r>
                            <w:r>
                              <w:rPr>
                                <w:rFonts w:asciiTheme="majorHAnsi" w:hAnsiTheme="majorHAnsi"/>
                                <w:sz w:val="22"/>
                                <w:szCs w:val="22"/>
                              </w:rPr>
                              <w:br/>
                              <w:t xml:space="preserve">- </w:t>
                            </w:r>
                            <w:r w:rsidRPr="00816121">
                              <w:rPr>
                                <w:rFonts w:asciiTheme="majorHAnsi" w:hAnsiTheme="majorHAnsi"/>
                                <w:sz w:val="22"/>
                                <w:szCs w:val="22"/>
                              </w:rPr>
                              <w:t>definierte Belastungen aus dem Verkehr,</w:t>
                            </w:r>
                            <w:r>
                              <w:rPr>
                                <w:rFonts w:asciiTheme="majorHAnsi" w:hAnsiTheme="majorHAnsi"/>
                                <w:sz w:val="22"/>
                                <w:szCs w:val="22"/>
                              </w:rPr>
                              <w:br/>
                              <w:t xml:space="preserve">- </w:t>
                            </w:r>
                            <w:r w:rsidRPr="00816121">
                              <w:rPr>
                                <w:rFonts w:asciiTheme="majorHAnsi" w:hAnsiTheme="majorHAnsi"/>
                                <w:sz w:val="22"/>
                                <w:szCs w:val="22"/>
                              </w:rPr>
                              <w:t>definierte klimatische Bedingungen,</w:t>
                            </w:r>
                            <w:r>
                              <w:rPr>
                                <w:rFonts w:asciiTheme="majorHAnsi" w:hAnsiTheme="majorHAnsi"/>
                                <w:sz w:val="22"/>
                                <w:szCs w:val="22"/>
                              </w:rPr>
                              <w:br/>
                              <w:t xml:space="preserve">- </w:t>
                            </w:r>
                            <w:r w:rsidRPr="00816121">
                              <w:rPr>
                                <w:rFonts w:asciiTheme="majorHAnsi" w:hAnsiTheme="majorHAnsi"/>
                                <w:sz w:val="22"/>
                                <w:szCs w:val="22"/>
                              </w:rPr>
                              <w:t xml:space="preserve">dimensionierungsrelevante Materialparameter der Asphalte </w:t>
                            </w:r>
                            <w:r>
                              <w:rPr>
                                <w:rFonts w:asciiTheme="majorHAnsi" w:hAnsiTheme="majorHAnsi"/>
                                <w:sz w:val="22"/>
                                <w:szCs w:val="22"/>
                              </w:rPr>
                              <w:br/>
                            </w:r>
                            <w:r w:rsidR="008D1342">
                              <w:rPr>
                                <w:rFonts w:asciiTheme="majorHAnsi" w:hAnsiTheme="majorHAnsi"/>
                                <w:sz w:val="22"/>
                                <w:szCs w:val="22"/>
                              </w:rPr>
                              <w:t xml:space="preserve">  </w:t>
                            </w:r>
                            <w:r w:rsidRPr="00816121">
                              <w:rPr>
                                <w:rFonts w:asciiTheme="majorHAnsi" w:hAnsiTheme="majorHAnsi"/>
                                <w:sz w:val="22"/>
                                <w:szCs w:val="22"/>
                              </w:rPr>
                              <w:t>(Kalibrierasphalte).</w:t>
                            </w:r>
                          </w:p>
                          <w:p w14:paraId="65CD3CEF" w14:textId="59F5A792" w:rsidR="00816121" w:rsidRPr="00816121" w:rsidRDefault="00816121" w:rsidP="00816121">
                            <w:pPr>
                              <w:pStyle w:val="StandardWeb"/>
                              <w:rPr>
                                <w:rFonts w:asciiTheme="majorHAnsi" w:hAnsiTheme="majorHAnsi"/>
                                <w:sz w:val="22"/>
                                <w:szCs w:val="22"/>
                              </w:rPr>
                            </w:pPr>
                            <w:r w:rsidRPr="00816121">
                              <w:rPr>
                                <w:rFonts w:asciiTheme="majorHAnsi" w:hAnsiTheme="majorHAnsi"/>
                                <w:sz w:val="22"/>
                                <w:szCs w:val="22"/>
                              </w:rPr>
                              <w:t xml:space="preserve">Für die Anwendung der RDO Asphalt werden die harmonisierten Anpassungsfaktoren getrennt nach der jeweiligen Bauweise </w:t>
                            </w:r>
                            <w:r w:rsidR="007C4CD0">
                              <w:rPr>
                                <w:rFonts w:asciiTheme="majorHAnsi" w:hAnsiTheme="majorHAnsi"/>
                                <w:sz w:val="22"/>
                                <w:szCs w:val="22"/>
                              </w:rPr>
                              <w:br/>
                            </w:r>
                            <w:r w:rsidRPr="00816121">
                              <w:rPr>
                                <w:rFonts w:asciiTheme="majorHAnsi" w:hAnsiTheme="majorHAnsi"/>
                                <w:sz w:val="22"/>
                                <w:szCs w:val="22"/>
                              </w:rPr>
                              <w:t>maßgebend.</w:t>
                            </w:r>
                          </w:p>
                          <w:p w14:paraId="6D47BDC9" w14:textId="00CC8B06" w:rsidR="00365687" w:rsidRPr="00BA462D"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31" type="#_x0000_t202" style="position:absolute;left:0;text-align:left;margin-left:234pt;margin-top:184.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PW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" filled="f" stroked="f">
                <v:textbox inset="0,0,,0">
                  <w:txbxContent>
                    <w:p w14:paraId="75C6FC1E" w14:textId="0B0F6B5E" w:rsidR="00D75A16" w:rsidRPr="00BA462D" w:rsidRDefault="00D75A16" w:rsidP="00165A58">
                      <w:pPr>
                        <w:pStyle w:val="StandardWeb"/>
                        <w:rPr>
                          <w:rFonts w:asciiTheme="majorHAnsi" w:hAnsiTheme="majorHAnsi"/>
                          <w:sz w:val="22"/>
                          <w:szCs w:val="22"/>
                        </w:rPr>
                      </w:pPr>
                      <w:r w:rsidRPr="00BA462D">
                        <w:rPr>
                          <w:rFonts w:asciiTheme="majorHAnsi" w:hAnsiTheme="majorHAnsi" w:cs="Arial"/>
                          <w:sz w:val="22"/>
                          <w:szCs w:val="22"/>
                        </w:rPr>
                        <w:t>Die Forschungsgesellschaft für Straßen- und Verkehrswesen</w:t>
                      </w:r>
                      <w:r w:rsidR="008C3731" w:rsidRPr="00BA462D">
                        <w:rPr>
                          <w:rFonts w:asciiTheme="majorHAnsi" w:hAnsiTheme="majorHAnsi" w:cs="Arial"/>
                          <w:sz w:val="22"/>
                          <w:szCs w:val="22"/>
                        </w:rPr>
                        <w:t xml:space="preserve"> </w:t>
                      </w:r>
                      <w:r w:rsidR="0093546B" w:rsidRPr="00BA462D">
                        <w:rPr>
                          <w:rFonts w:asciiTheme="majorHAnsi" w:hAnsiTheme="majorHAnsi" w:cs="Arial"/>
                          <w:sz w:val="22"/>
                          <w:szCs w:val="22"/>
                        </w:rPr>
                        <w:t xml:space="preserve">(FGSV) </w:t>
                      </w:r>
                      <w:r w:rsidRPr="00BA462D">
                        <w:rPr>
                          <w:rFonts w:asciiTheme="majorHAnsi" w:hAnsiTheme="majorHAnsi" w:cs="Arial"/>
                          <w:sz w:val="22"/>
                          <w:szCs w:val="22"/>
                        </w:rPr>
                        <w:t>hat d</w:t>
                      </w:r>
                      <w:r w:rsidR="00203545">
                        <w:rPr>
                          <w:rFonts w:asciiTheme="majorHAnsi" w:hAnsiTheme="majorHAnsi" w:cs="Arial"/>
                          <w:sz w:val="22"/>
                          <w:szCs w:val="22"/>
                        </w:rPr>
                        <w:t>as</w:t>
                      </w:r>
                      <w:r w:rsidRPr="00BA462D">
                        <w:rPr>
                          <w:rFonts w:asciiTheme="majorHAnsi" w:hAnsiTheme="majorHAnsi" w:cs="Arial"/>
                          <w:sz w:val="22"/>
                          <w:szCs w:val="22"/>
                        </w:rPr>
                        <w:t xml:space="preserve"> „</w:t>
                      </w:r>
                      <w:r w:rsidR="005672E3">
                        <w:rPr>
                          <w:rFonts w:asciiTheme="majorHAnsi" w:hAnsiTheme="majorHAnsi"/>
                          <w:sz w:val="22"/>
                          <w:szCs w:val="22"/>
                        </w:rPr>
                        <w:t>Arbeitspapier Ermittlung von Anpassungs- und</w:t>
                      </w:r>
                      <w:r w:rsidR="00816121">
                        <w:rPr>
                          <w:rFonts w:asciiTheme="majorHAnsi" w:hAnsiTheme="majorHAnsi"/>
                          <w:sz w:val="22"/>
                          <w:szCs w:val="22"/>
                        </w:rPr>
                        <w:br/>
                      </w:r>
                      <w:r w:rsidR="005672E3">
                        <w:rPr>
                          <w:rFonts w:asciiTheme="majorHAnsi" w:hAnsiTheme="majorHAnsi"/>
                          <w:sz w:val="22"/>
                          <w:szCs w:val="22"/>
                        </w:rPr>
                        <w:t>Sicherheitsfaktoren für die Dimensionierung von Asphaltbefestigungen</w:t>
                      </w:r>
                      <w:r w:rsidR="00E46E63" w:rsidRPr="00BA462D">
                        <w:rPr>
                          <w:rFonts w:asciiTheme="majorHAnsi" w:hAnsiTheme="majorHAnsi"/>
                          <w:sz w:val="22"/>
                          <w:szCs w:val="22"/>
                        </w:rPr>
                        <w:t xml:space="preserve"> </w:t>
                      </w:r>
                      <w:r w:rsidRPr="00BA462D">
                        <w:rPr>
                          <w:rFonts w:asciiTheme="majorHAnsi" w:hAnsiTheme="majorHAnsi"/>
                          <w:sz w:val="22"/>
                          <w:szCs w:val="22"/>
                        </w:rPr>
                        <w:t>(</w:t>
                      </w:r>
                      <w:r w:rsidR="005672E3">
                        <w:rPr>
                          <w:rFonts w:asciiTheme="majorHAnsi" w:hAnsiTheme="majorHAnsi"/>
                          <w:sz w:val="22"/>
                          <w:szCs w:val="22"/>
                        </w:rPr>
                        <w:t>AP EADA</w:t>
                      </w:r>
                      <w:r w:rsidRPr="00BA462D">
                        <w:rPr>
                          <w:rFonts w:asciiTheme="majorHAnsi" w:hAnsiTheme="majorHAnsi"/>
                          <w:sz w:val="22"/>
                          <w:szCs w:val="22"/>
                        </w:rPr>
                        <w:t>)“</w:t>
                      </w:r>
                      <w:r w:rsidR="008C3731" w:rsidRPr="00BA462D">
                        <w:rPr>
                          <w:rFonts w:asciiTheme="majorHAnsi" w:hAnsiTheme="majorHAnsi"/>
                          <w:sz w:val="22"/>
                          <w:szCs w:val="22"/>
                        </w:rPr>
                        <w:t xml:space="preserve"> </w:t>
                      </w:r>
                      <w:r w:rsidRPr="00BA462D">
                        <w:rPr>
                          <w:rFonts w:asciiTheme="majorHAnsi" w:hAnsiTheme="majorHAnsi" w:cs="Arial"/>
                          <w:sz w:val="22"/>
                          <w:szCs w:val="22"/>
                        </w:rPr>
                        <w:t xml:space="preserve">(FGSV </w:t>
                      </w:r>
                      <w:r w:rsidR="005672E3">
                        <w:rPr>
                          <w:rFonts w:asciiTheme="majorHAnsi" w:hAnsiTheme="majorHAnsi" w:cs="Arial"/>
                          <w:sz w:val="22"/>
                          <w:szCs w:val="22"/>
                        </w:rPr>
                        <w:t>498/3</w:t>
                      </w:r>
                      <w:r w:rsidRPr="00BA462D">
                        <w:rPr>
                          <w:rFonts w:asciiTheme="majorHAnsi" w:hAnsiTheme="majorHAnsi" w:cs="Arial"/>
                          <w:sz w:val="22"/>
                          <w:szCs w:val="22"/>
                        </w:rPr>
                        <w:t>)</w:t>
                      </w:r>
                      <w:r w:rsidR="00E46E63" w:rsidRPr="00BA462D">
                        <w:rPr>
                          <w:rFonts w:asciiTheme="majorHAnsi" w:hAnsiTheme="majorHAnsi" w:cs="Arial"/>
                          <w:sz w:val="22"/>
                          <w:szCs w:val="22"/>
                        </w:rPr>
                        <w:t xml:space="preserve"> </w:t>
                      </w:r>
                      <w:r w:rsidRPr="00BA462D">
                        <w:rPr>
                          <w:rFonts w:asciiTheme="majorHAnsi" w:hAnsiTheme="majorHAnsi" w:cs="Arial"/>
                          <w:sz w:val="22"/>
                          <w:szCs w:val="22"/>
                        </w:rPr>
                        <w:t>mit einer Ausgabe 202</w:t>
                      </w:r>
                      <w:r w:rsidR="005672E3">
                        <w:rPr>
                          <w:rFonts w:asciiTheme="majorHAnsi" w:hAnsiTheme="majorHAnsi" w:cs="Arial"/>
                          <w:sz w:val="22"/>
                          <w:szCs w:val="22"/>
                        </w:rPr>
                        <w:t>2</w:t>
                      </w:r>
                      <w:r w:rsidRPr="00BA462D">
                        <w:rPr>
                          <w:rFonts w:asciiTheme="majorHAnsi" w:hAnsiTheme="majorHAnsi" w:cs="Arial"/>
                          <w:sz w:val="22"/>
                          <w:szCs w:val="22"/>
                        </w:rPr>
                        <w:t xml:space="preserve"> herausgegeben. </w:t>
                      </w:r>
                      <w:r w:rsidR="0093546B" w:rsidRPr="00BA462D">
                        <w:rPr>
                          <w:rFonts w:asciiTheme="majorHAnsi" w:hAnsiTheme="majorHAnsi" w:cs="Arial"/>
                          <w:sz w:val="22"/>
                          <w:szCs w:val="22"/>
                        </w:rPr>
                        <w:t xml:space="preserve">Der </w:t>
                      </w:r>
                      <w:r w:rsidRPr="00BA462D">
                        <w:rPr>
                          <w:rFonts w:asciiTheme="majorHAnsi" w:hAnsiTheme="majorHAnsi" w:cs="Arial"/>
                          <w:sz w:val="22"/>
                          <w:szCs w:val="22"/>
                        </w:rPr>
                        <w:t xml:space="preserve">Bezugspreis ist </w:t>
                      </w:r>
                      <w:r w:rsidR="005672E3">
                        <w:rPr>
                          <w:rFonts w:asciiTheme="majorHAnsi" w:hAnsiTheme="majorHAnsi" w:cs="Arial"/>
                          <w:sz w:val="22"/>
                          <w:szCs w:val="22"/>
                        </w:rPr>
                        <w:t>12</w:t>
                      </w:r>
                      <w:r w:rsidRPr="00BA462D">
                        <w:rPr>
                          <w:rFonts w:asciiTheme="majorHAnsi" w:hAnsiTheme="majorHAnsi" w:cs="Arial"/>
                          <w:sz w:val="22"/>
                          <w:szCs w:val="22"/>
                        </w:rPr>
                        <w:t>,</w:t>
                      </w:r>
                      <w:r w:rsidR="005672E3">
                        <w:rPr>
                          <w:rFonts w:asciiTheme="majorHAnsi" w:hAnsiTheme="majorHAnsi" w:cs="Arial"/>
                          <w:sz w:val="22"/>
                          <w:szCs w:val="22"/>
                        </w:rPr>
                        <w:t>6</w:t>
                      </w:r>
                      <w:r w:rsidRPr="00BA462D">
                        <w:rPr>
                          <w:rFonts w:asciiTheme="majorHAnsi" w:hAnsiTheme="majorHAnsi" w:cs="Arial"/>
                          <w:sz w:val="22"/>
                          <w:szCs w:val="22"/>
                        </w:rPr>
                        <w:t>0 EUR (FGSV-Mitglieder erhalten einen Rabatt von 30 %).</w:t>
                      </w:r>
                    </w:p>
                    <w:p w14:paraId="6A554F39" w14:textId="1C1F2668" w:rsidR="00816121" w:rsidRPr="00816121" w:rsidRDefault="00816121" w:rsidP="00816121">
                      <w:pPr>
                        <w:pStyle w:val="StandardWeb"/>
                        <w:rPr>
                          <w:rFonts w:asciiTheme="majorHAnsi" w:hAnsiTheme="majorHAnsi"/>
                          <w:sz w:val="22"/>
                          <w:szCs w:val="22"/>
                        </w:rPr>
                      </w:pPr>
                      <w:r w:rsidRPr="00816121">
                        <w:rPr>
                          <w:rFonts w:asciiTheme="majorHAnsi" w:hAnsiTheme="majorHAnsi"/>
                          <w:sz w:val="22"/>
                          <w:szCs w:val="22"/>
                        </w:rPr>
                        <w:t>Die Anpassungsfaktoren (ehemals Sicherheitsbeiwerte) aus dem AP EADA werden für die rechnerischen Dimensionierungs- und Prognoseverfahren benötigt.</w:t>
                      </w:r>
                      <w:r>
                        <w:rPr>
                          <w:rFonts w:asciiTheme="majorHAnsi" w:hAnsiTheme="majorHAnsi"/>
                          <w:sz w:val="22"/>
                          <w:szCs w:val="22"/>
                        </w:rPr>
                        <w:br/>
                      </w:r>
                      <w:r w:rsidRPr="00816121">
                        <w:rPr>
                          <w:rFonts w:asciiTheme="majorHAnsi" w:hAnsiTheme="majorHAnsi"/>
                          <w:sz w:val="22"/>
                          <w:szCs w:val="22"/>
                        </w:rPr>
                        <w:t xml:space="preserve">So werden die im Labor bestimmten </w:t>
                      </w:r>
                      <w:r w:rsidRPr="00816121">
                        <w:rPr>
                          <w:rStyle w:val="Fett"/>
                          <w:rFonts w:asciiTheme="majorHAnsi" w:hAnsiTheme="majorHAnsi"/>
                          <w:b w:val="0"/>
                          <w:bCs w:val="0"/>
                          <w:sz w:val="22"/>
                          <w:szCs w:val="22"/>
                        </w:rPr>
                        <w:t>Materialparameter</w:t>
                      </w:r>
                      <w:r w:rsidRPr="00816121">
                        <w:rPr>
                          <w:rFonts w:asciiTheme="majorHAnsi" w:hAnsiTheme="majorHAnsi"/>
                          <w:sz w:val="22"/>
                          <w:szCs w:val="22"/>
                        </w:rPr>
                        <w:t xml:space="preserve"> der </w:t>
                      </w:r>
                      <w:r>
                        <w:rPr>
                          <w:rFonts w:asciiTheme="majorHAnsi" w:hAnsiTheme="majorHAnsi"/>
                          <w:sz w:val="22"/>
                          <w:szCs w:val="22"/>
                        </w:rPr>
                        <w:br/>
                      </w:r>
                      <w:r w:rsidRPr="00816121">
                        <w:rPr>
                          <w:rFonts w:asciiTheme="majorHAnsi" w:hAnsiTheme="majorHAnsi"/>
                          <w:sz w:val="22"/>
                          <w:szCs w:val="22"/>
                        </w:rPr>
                        <w:t>Asphalte, die mit zeitraffenden Untersuchungsmethoden bestimmt werden, auf die reale Beanspruchungssituation im Oberbau übertragen. Ein Sicherheitsniveau vergleichbar zu den RStO 12 (Richtlinien für die Standardisierung des Oberbaus von Verkehrsflächen, FGSV 499) wird so sichergestellt.</w:t>
                      </w:r>
                      <w:r w:rsidR="008D1342">
                        <w:rPr>
                          <w:rFonts w:asciiTheme="majorHAnsi" w:hAnsiTheme="majorHAnsi"/>
                          <w:sz w:val="22"/>
                          <w:szCs w:val="22"/>
                        </w:rPr>
                        <w:br/>
                      </w:r>
                      <w:r>
                        <w:rPr>
                          <w:rFonts w:asciiTheme="majorHAnsi" w:hAnsiTheme="majorHAnsi"/>
                          <w:sz w:val="22"/>
                          <w:szCs w:val="22"/>
                        </w:rPr>
                        <w:br/>
                      </w:r>
                      <w:r w:rsidRPr="00816121">
                        <w:rPr>
                          <w:rFonts w:asciiTheme="majorHAnsi" w:hAnsiTheme="majorHAnsi"/>
                          <w:sz w:val="22"/>
                          <w:szCs w:val="22"/>
                        </w:rPr>
                        <w:t>Das Grundkonzept für die Bestimmung der Anpassungsfaktoren besteht darin, unter Kalibrierbedingungen für eine rechnerische Nutzungsdauer von 30 Jahren für Konstruktionsaufbauten mit Schichtdicken entsprechend den RStO 12 den rechnerischen Nachweis nach den RDO Asphalt (Richtlinien für die rechnerische</w:t>
                      </w:r>
                      <w:r>
                        <w:rPr>
                          <w:rFonts w:asciiTheme="majorHAnsi" w:hAnsiTheme="majorHAnsi"/>
                          <w:sz w:val="22"/>
                          <w:szCs w:val="22"/>
                        </w:rPr>
                        <w:br/>
                      </w:r>
                      <w:r w:rsidRPr="00816121">
                        <w:rPr>
                          <w:rFonts w:asciiTheme="majorHAnsi" w:hAnsiTheme="majorHAnsi"/>
                          <w:sz w:val="22"/>
                          <w:szCs w:val="22"/>
                        </w:rPr>
                        <w:t xml:space="preserve">Dimensionierung des Oberbaus von Verkehrsflächen mit Asphaltdeckschicht, FGSV 498) erfüllen zu können. </w:t>
                      </w:r>
                      <w:r>
                        <w:rPr>
                          <w:rFonts w:asciiTheme="majorHAnsi" w:hAnsiTheme="majorHAnsi"/>
                          <w:sz w:val="22"/>
                          <w:szCs w:val="22"/>
                        </w:rPr>
                        <w:br/>
                      </w:r>
                      <w:r w:rsidR="008D1342">
                        <w:rPr>
                          <w:rFonts w:asciiTheme="majorHAnsi" w:hAnsiTheme="majorHAnsi"/>
                          <w:sz w:val="22"/>
                          <w:szCs w:val="22"/>
                        </w:rPr>
                        <w:br/>
                      </w:r>
                      <w:r w:rsidRPr="00816121">
                        <w:rPr>
                          <w:rFonts w:asciiTheme="majorHAnsi" w:hAnsiTheme="majorHAnsi"/>
                          <w:sz w:val="22"/>
                          <w:szCs w:val="22"/>
                        </w:rPr>
                        <w:t>Die Kalibrierbedingungen beinhalten dabei:</w:t>
                      </w:r>
                      <w:r>
                        <w:rPr>
                          <w:rFonts w:asciiTheme="majorHAnsi" w:hAnsiTheme="majorHAnsi"/>
                          <w:sz w:val="22"/>
                          <w:szCs w:val="22"/>
                        </w:rPr>
                        <w:br/>
                        <w:t xml:space="preserve">- </w:t>
                      </w:r>
                      <w:r w:rsidRPr="00816121">
                        <w:rPr>
                          <w:rFonts w:asciiTheme="majorHAnsi" w:hAnsiTheme="majorHAnsi"/>
                          <w:sz w:val="22"/>
                          <w:szCs w:val="22"/>
                        </w:rPr>
                        <w:t>definierte Belastungen aus dem Verkehr,</w:t>
                      </w:r>
                      <w:r>
                        <w:rPr>
                          <w:rFonts w:asciiTheme="majorHAnsi" w:hAnsiTheme="majorHAnsi"/>
                          <w:sz w:val="22"/>
                          <w:szCs w:val="22"/>
                        </w:rPr>
                        <w:br/>
                        <w:t xml:space="preserve">- </w:t>
                      </w:r>
                      <w:r w:rsidRPr="00816121">
                        <w:rPr>
                          <w:rFonts w:asciiTheme="majorHAnsi" w:hAnsiTheme="majorHAnsi"/>
                          <w:sz w:val="22"/>
                          <w:szCs w:val="22"/>
                        </w:rPr>
                        <w:t>definierte klimatische Bedingungen,</w:t>
                      </w:r>
                      <w:r>
                        <w:rPr>
                          <w:rFonts w:asciiTheme="majorHAnsi" w:hAnsiTheme="majorHAnsi"/>
                          <w:sz w:val="22"/>
                          <w:szCs w:val="22"/>
                        </w:rPr>
                        <w:br/>
                        <w:t xml:space="preserve">- </w:t>
                      </w:r>
                      <w:r w:rsidRPr="00816121">
                        <w:rPr>
                          <w:rFonts w:asciiTheme="majorHAnsi" w:hAnsiTheme="majorHAnsi"/>
                          <w:sz w:val="22"/>
                          <w:szCs w:val="22"/>
                        </w:rPr>
                        <w:t xml:space="preserve">dimensionierungsrelevante Materialparameter der Asphalte </w:t>
                      </w:r>
                      <w:r>
                        <w:rPr>
                          <w:rFonts w:asciiTheme="majorHAnsi" w:hAnsiTheme="majorHAnsi"/>
                          <w:sz w:val="22"/>
                          <w:szCs w:val="22"/>
                        </w:rPr>
                        <w:br/>
                      </w:r>
                      <w:r w:rsidR="008D1342">
                        <w:rPr>
                          <w:rFonts w:asciiTheme="majorHAnsi" w:hAnsiTheme="majorHAnsi"/>
                          <w:sz w:val="22"/>
                          <w:szCs w:val="22"/>
                        </w:rPr>
                        <w:t xml:space="preserve">  </w:t>
                      </w:r>
                      <w:r w:rsidRPr="00816121">
                        <w:rPr>
                          <w:rFonts w:asciiTheme="majorHAnsi" w:hAnsiTheme="majorHAnsi"/>
                          <w:sz w:val="22"/>
                          <w:szCs w:val="22"/>
                        </w:rPr>
                        <w:t>(Kalibrierasphalte).</w:t>
                      </w:r>
                    </w:p>
                    <w:p w14:paraId="65CD3CEF" w14:textId="59F5A792" w:rsidR="00816121" w:rsidRPr="00816121" w:rsidRDefault="00816121" w:rsidP="00816121">
                      <w:pPr>
                        <w:pStyle w:val="StandardWeb"/>
                        <w:rPr>
                          <w:rFonts w:asciiTheme="majorHAnsi" w:hAnsiTheme="majorHAnsi"/>
                          <w:sz w:val="22"/>
                          <w:szCs w:val="22"/>
                        </w:rPr>
                      </w:pPr>
                      <w:r w:rsidRPr="00816121">
                        <w:rPr>
                          <w:rFonts w:asciiTheme="majorHAnsi" w:hAnsiTheme="majorHAnsi"/>
                          <w:sz w:val="22"/>
                          <w:szCs w:val="22"/>
                        </w:rPr>
                        <w:t xml:space="preserve">Für die Anwendung der RDO Asphalt werden die harmonisierten Anpassungsfaktoren getrennt nach der jeweiligen Bauweise </w:t>
                      </w:r>
                      <w:r w:rsidR="007C4CD0">
                        <w:rPr>
                          <w:rFonts w:asciiTheme="majorHAnsi" w:hAnsiTheme="majorHAnsi"/>
                          <w:sz w:val="22"/>
                          <w:szCs w:val="22"/>
                        </w:rPr>
                        <w:br/>
                      </w:r>
                      <w:r w:rsidRPr="00816121">
                        <w:rPr>
                          <w:rFonts w:asciiTheme="majorHAnsi" w:hAnsiTheme="majorHAnsi"/>
                          <w:sz w:val="22"/>
                          <w:szCs w:val="22"/>
                        </w:rPr>
                        <w:t>maßgebend.</w:t>
                      </w:r>
                    </w:p>
                    <w:p w14:paraId="6D47BDC9" w14:textId="00CC8B06" w:rsidR="00365687" w:rsidRPr="00BA462D"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E747C"/>
    <w:rsid w:val="003F0D33"/>
    <w:rsid w:val="003F48C1"/>
    <w:rsid w:val="003F5A9E"/>
    <w:rsid w:val="00401102"/>
    <w:rsid w:val="00401719"/>
    <w:rsid w:val="0040221F"/>
    <w:rsid w:val="00402FD1"/>
    <w:rsid w:val="004050EC"/>
    <w:rsid w:val="004104BE"/>
    <w:rsid w:val="00412653"/>
    <w:rsid w:val="004128D8"/>
    <w:rsid w:val="00412A9D"/>
    <w:rsid w:val="00414018"/>
    <w:rsid w:val="004153EE"/>
    <w:rsid w:val="00415441"/>
    <w:rsid w:val="00417307"/>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1F68"/>
    <w:rsid w:val="00CE6943"/>
    <w:rsid w:val="00CF206C"/>
    <w:rsid w:val="00CF3BBD"/>
    <w:rsid w:val="00CF440E"/>
    <w:rsid w:val="00CF4E8D"/>
    <w:rsid w:val="00D030A6"/>
    <w:rsid w:val="00D0592A"/>
    <w:rsid w:val="00D0798F"/>
    <w:rsid w:val="00D101CC"/>
    <w:rsid w:val="00D17822"/>
    <w:rsid w:val="00D17EF9"/>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6574"/>
    <w:rsid w:val="00E108F6"/>
    <w:rsid w:val="00E27B0B"/>
    <w:rsid w:val="00E302C3"/>
    <w:rsid w:val="00E34182"/>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255</cp:revision>
  <cp:lastPrinted>2022-01-06T07:50:00Z</cp:lastPrinted>
  <dcterms:created xsi:type="dcterms:W3CDTF">2020-06-23T09:12:00Z</dcterms:created>
  <dcterms:modified xsi:type="dcterms:W3CDTF">2022-02-08T15:17:00Z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