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1E721999" w:rsidR="00854188" w:rsidRPr="00BE0FFC" w:rsidRDefault="004808CE"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4E8790D9">
                <wp:simplePos x="0" y="0"/>
                <wp:positionH relativeFrom="page">
                  <wp:posOffset>2971800</wp:posOffset>
                </wp:positionH>
                <wp:positionV relativeFrom="margin">
                  <wp:posOffset>2483485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8D5" w14:textId="74BE27DB" w:rsidR="00491F7F" w:rsidRPr="00CE5B66" w:rsidRDefault="00E658DF" w:rsidP="00491F7F">
                            <w:pPr>
                              <w:pStyle w:val="StandardWeb"/>
                              <w:rPr>
                                <w:rFonts w:asciiTheme="majorHAnsi" w:hAnsiTheme="majorHAnsi" w:cs="Arial"/>
                                <w:sz w:val="22"/>
                                <w:szCs w:val="22"/>
                              </w:rPr>
                            </w:pPr>
                            <w:r w:rsidRPr="00CE5B66">
                              <w:rPr>
                                <w:rFonts w:asciiTheme="majorHAnsi" w:hAnsiTheme="majorHAnsi" w:cs="Arial"/>
                                <w:sz w:val="22"/>
                                <w:szCs w:val="22"/>
                              </w:rPr>
                              <w:t>Die Forschungsgesellschaft für Straßen- und Verkehrswesen (FGSV) hat mit einer Ausgabe 20</w:t>
                            </w:r>
                            <w:r w:rsidR="00FB13BA">
                              <w:rPr>
                                <w:rFonts w:asciiTheme="majorHAnsi" w:hAnsiTheme="majorHAnsi" w:cs="Arial"/>
                                <w:sz w:val="22"/>
                                <w:szCs w:val="22"/>
                              </w:rPr>
                              <w:t>12/Fassung 2024</w:t>
                            </w:r>
                            <w:r w:rsidRPr="00CE5B66">
                              <w:rPr>
                                <w:rFonts w:asciiTheme="majorHAnsi" w:hAnsiTheme="majorHAnsi" w:cs="Arial"/>
                                <w:sz w:val="22"/>
                                <w:szCs w:val="22"/>
                              </w:rPr>
                              <w:t xml:space="preserve"> die „</w:t>
                            </w:r>
                            <w:r w:rsidR="00FB13BA">
                              <w:rPr>
                                <w:rFonts w:asciiTheme="majorHAnsi" w:hAnsiTheme="majorHAnsi" w:cs="Arial"/>
                                <w:sz w:val="22"/>
                                <w:szCs w:val="22"/>
                              </w:rPr>
                              <w:t>Richt-</w:t>
                            </w:r>
                            <w:r w:rsidR="00FB13BA">
                              <w:rPr>
                                <w:rFonts w:asciiTheme="majorHAnsi" w:hAnsiTheme="majorHAnsi" w:cs="Arial"/>
                                <w:sz w:val="22"/>
                                <w:szCs w:val="22"/>
                              </w:rPr>
                              <w:br/>
                              <w:t>linien für die Standardisierung des Oberbaus von Verkehrsflächen</w:t>
                            </w:r>
                            <w:r w:rsidRPr="00CE5B66">
                              <w:rPr>
                                <w:rFonts w:asciiTheme="majorHAnsi" w:hAnsiTheme="majorHAnsi" w:cs="Arial"/>
                                <w:sz w:val="22"/>
                                <w:szCs w:val="22"/>
                              </w:rPr>
                              <w:t>" (</w:t>
                            </w:r>
                            <w:r w:rsidR="00FB13BA">
                              <w:rPr>
                                <w:rFonts w:asciiTheme="majorHAnsi" w:hAnsiTheme="majorHAnsi" w:cs="Arial"/>
                                <w:sz w:val="22"/>
                                <w:szCs w:val="22"/>
                              </w:rPr>
                              <w:t>RStO 12/24</w:t>
                            </w:r>
                            <w:r w:rsidRPr="00CE5B66">
                              <w:rPr>
                                <w:rFonts w:asciiTheme="majorHAnsi" w:hAnsiTheme="majorHAnsi" w:cs="Arial"/>
                                <w:sz w:val="22"/>
                                <w:szCs w:val="22"/>
                              </w:rPr>
                              <w:t xml:space="preserve">) herausgegeben. Sie ersetzen die </w:t>
                            </w:r>
                            <w:r w:rsidR="00C3467C">
                              <w:rPr>
                                <w:rFonts w:asciiTheme="majorHAnsi" w:hAnsiTheme="majorHAnsi" w:cs="Arial"/>
                                <w:sz w:val="22"/>
                                <w:szCs w:val="22"/>
                              </w:rPr>
                              <w:t xml:space="preserve">gleichnamige </w:t>
                            </w:r>
                            <w:r w:rsidR="00FB13BA">
                              <w:rPr>
                                <w:rFonts w:asciiTheme="majorHAnsi" w:hAnsiTheme="majorHAnsi" w:cs="Arial"/>
                                <w:sz w:val="22"/>
                                <w:szCs w:val="22"/>
                              </w:rPr>
                              <w:br/>
                            </w:r>
                            <w:r w:rsidR="00C3467C">
                              <w:rPr>
                                <w:rFonts w:asciiTheme="majorHAnsi" w:hAnsiTheme="majorHAnsi" w:cs="Arial"/>
                                <w:sz w:val="22"/>
                                <w:szCs w:val="22"/>
                              </w:rPr>
                              <w:t>Ausgabe von 20</w:t>
                            </w:r>
                            <w:r w:rsidR="00FB13BA">
                              <w:rPr>
                                <w:rFonts w:asciiTheme="majorHAnsi" w:hAnsiTheme="majorHAnsi" w:cs="Arial"/>
                                <w:sz w:val="22"/>
                                <w:szCs w:val="22"/>
                              </w:rPr>
                              <w:t>12</w:t>
                            </w:r>
                            <w:r w:rsidR="00C3467C">
                              <w:rPr>
                                <w:rFonts w:asciiTheme="majorHAnsi" w:hAnsiTheme="majorHAnsi" w:cs="Arial"/>
                                <w:sz w:val="22"/>
                                <w:szCs w:val="22"/>
                              </w:rPr>
                              <w:t xml:space="preserve">. </w:t>
                            </w:r>
                            <w:r w:rsidR="00491F7F" w:rsidRPr="00CE5B66">
                              <w:rPr>
                                <w:rFonts w:asciiTheme="majorHAnsi" w:hAnsiTheme="majorHAnsi" w:cs="Arial"/>
                                <w:sz w:val="22"/>
                                <w:szCs w:val="22"/>
                              </w:rPr>
                              <w:t xml:space="preserve">Der Bezugspreis ist </w:t>
                            </w:r>
                            <w:r w:rsidR="00FB13BA">
                              <w:rPr>
                                <w:rFonts w:asciiTheme="majorHAnsi" w:hAnsiTheme="majorHAnsi" w:cs="Arial"/>
                                <w:sz w:val="22"/>
                                <w:szCs w:val="22"/>
                              </w:rPr>
                              <w:t>51</w:t>
                            </w:r>
                            <w:r w:rsidR="00491F7F" w:rsidRPr="00CE5B66">
                              <w:rPr>
                                <w:rFonts w:asciiTheme="majorHAnsi" w:hAnsiTheme="majorHAnsi" w:cs="Arial"/>
                                <w:sz w:val="22"/>
                                <w:szCs w:val="22"/>
                              </w:rPr>
                              <w:t>,</w:t>
                            </w:r>
                            <w:r w:rsidR="00FB13BA">
                              <w:rPr>
                                <w:rFonts w:asciiTheme="majorHAnsi" w:hAnsiTheme="majorHAnsi" w:cs="Arial"/>
                                <w:sz w:val="22"/>
                                <w:szCs w:val="22"/>
                              </w:rPr>
                              <w:t>0</w:t>
                            </w:r>
                            <w:r w:rsidR="00491F7F" w:rsidRPr="00CE5B66">
                              <w:rPr>
                                <w:rFonts w:asciiTheme="majorHAnsi" w:hAnsiTheme="majorHAnsi" w:cs="Arial"/>
                                <w:sz w:val="22"/>
                                <w:szCs w:val="22"/>
                              </w:rPr>
                              <w:t>0 EUR (FGSV</w:t>
                            </w:r>
                            <w:r w:rsidR="00FB13BA">
                              <w:rPr>
                                <w:rFonts w:asciiTheme="majorHAnsi" w:hAnsiTheme="majorHAnsi" w:cs="Arial"/>
                                <w:sz w:val="22"/>
                                <w:szCs w:val="22"/>
                              </w:rPr>
                              <w:t>-</w:t>
                            </w:r>
                            <w:r w:rsidR="00491F7F" w:rsidRPr="00CE5B66">
                              <w:rPr>
                                <w:rFonts w:asciiTheme="majorHAnsi" w:hAnsiTheme="majorHAnsi" w:cs="Arial"/>
                                <w:sz w:val="22"/>
                                <w:szCs w:val="22"/>
                              </w:rPr>
                              <w:t>Mit</w:t>
                            </w:r>
                            <w:r w:rsidR="00FB13BA">
                              <w:rPr>
                                <w:rFonts w:asciiTheme="majorHAnsi" w:hAnsiTheme="majorHAnsi" w:cs="Arial"/>
                                <w:sz w:val="22"/>
                                <w:szCs w:val="22"/>
                              </w:rPr>
                              <w:t>-</w:t>
                            </w:r>
                            <w:r w:rsidR="00491F7F" w:rsidRPr="00CE5B66">
                              <w:rPr>
                                <w:rFonts w:asciiTheme="majorHAnsi" w:hAnsiTheme="majorHAnsi" w:cs="Arial"/>
                                <w:sz w:val="22"/>
                                <w:szCs w:val="22"/>
                              </w:rPr>
                              <w:t>glieder</w:t>
                            </w:r>
                            <w:r w:rsidR="00C3467C">
                              <w:rPr>
                                <w:rFonts w:asciiTheme="majorHAnsi" w:hAnsiTheme="majorHAnsi" w:cs="Arial"/>
                                <w:sz w:val="22"/>
                                <w:szCs w:val="22"/>
                              </w:rPr>
                              <w:t xml:space="preserve"> </w:t>
                            </w:r>
                            <w:r w:rsidR="00491F7F" w:rsidRPr="00CE5B66">
                              <w:rPr>
                                <w:rFonts w:asciiTheme="majorHAnsi" w:hAnsiTheme="majorHAnsi" w:cs="Arial"/>
                                <w:sz w:val="22"/>
                                <w:szCs w:val="22"/>
                              </w:rPr>
                              <w:t>erhalten einen</w:t>
                            </w:r>
                            <w:r w:rsidR="001D167E" w:rsidRPr="00CE5B66">
                              <w:rPr>
                                <w:rFonts w:asciiTheme="majorHAnsi" w:hAnsiTheme="majorHAnsi" w:cs="Arial"/>
                                <w:sz w:val="22"/>
                                <w:szCs w:val="22"/>
                              </w:rPr>
                              <w:t xml:space="preserve"> </w:t>
                            </w:r>
                            <w:r w:rsidR="00491F7F" w:rsidRPr="00CE5B66">
                              <w:rPr>
                                <w:rFonts w:asciiTheme="majorHAnsi" w:hAnsiTheme="majorHAnsi" w:cs="Arial"/>
                                <w:sz w:val="22"/>
                                <w:szCs w:val="22"/>
                              </w:rPr>
                              <w:t>Rabatt von 30 %).</w:t>
                            </w:r>
                          </w:p>
                          <w:p w14:paraId="687BCB93" w14:textId="430A2E54" w:rsidR="001B1C6F" w:rsidRPr="001B1C6F" w:rsidRDefault="001B1C6F" w:rsidP="001B1C6F">
                            <w:pPr>
                              <w:pStyle w:val="StandardWeb"/>
                              <w:rPr>
                                <w:rFonts w:asciiTheme="majorHAnsi" w:hAnsiTheme="majorHAnsi"/>
                                <w:sz w:val="22"/>
                                <w:szCs w:val="22"/>
                              </w:rPr>
                            </w:pPr>
                            <w:r w:rsidRPr="001B1C6F">
                              <w:rPr>
                                <w:rFonts w:asciiTheme="majorHAnsi" w:hAnsiTheme="majorHAnsi"/>
                                <w:sz w:val="22"/>
                                <w:szCs w:val="22"/>
                              </w:rPr>
                              <w:t xml:space="preserve">Die „Richtlinien für die Standardisierung des Oberbaus von </w:t>
                            </w:r>
                            <w:r>
                              <w:rPr>
                                <w:rFonts w:asciiTheme="majorHAnsi" w:hAnsiTheme="majorHAnsi"/>
                                <w:sz w:val="22"/>
                                <w:szCs w:val="22"/>
                              </w:rPr>
                              <w:br/>
                            </w:r>
                            <w:r w:rsidRPr="001B1C6F">
                              <w:rPr>
                                <w:rFonts w:asciiTheme="majorHAnsi" w:hAnsiTheme="majorHAnsi"/>
                                <w:sz w:val="22"/>
                                <w:szCs w:val="22"/>
                              </w:rPr>
                              <w:t xml:space="preserve">Verkehrsflächen“, Ausgabe 2012/Fassung 2024 (RStO 12/24) </w:t>
                            </w:r>
                            <w:r>
                              <w:rPr>
                                <w:rFonts w:asciiTheme="majorHAnsi" w:hAnsiTheme="majorHAnsi"/>
                                <w:sz w:val="22"/>
                                <w:szCs w:val="22"/>
                              </w:rPr>
                              <w:br/>
                            </w:r>
                            <w:r w:rsidRPr="001B1C6F">
                              <w:rPr>
                                <w:rFonts w:asciiTheme="majorHAnsi" w:hAnsiTheme="majorHAnsi"/>
                                <w:sz w:val="22"/>
                                <w:szCs w:val="22"/>
                              </w:rPr>
                              <w:t xml:space="preserve">ersetzen die gleichnamigen Richtlinien, Ausgabe 2012 (RStO 12). Sie regeln die Standardfälle bei Neubau und Erneuerung für den standardisierten Oberbau von Verkehrsflächen innerhalb und </w:t>
                            </w:r>
                            <w:r>
                              <w:rPr>
                                <w:rFonts w:asciiTheme="majorHAnsi" w:hAnsiTheme="majorHAnsi"/>
                                <w:sz w:val="22"/>
                                <w:szCs w:val="22"/>
                              </w:rPr>
                              <w:br/>
                            </w:r>
                            <w:r w:rsidRPr="001B1C6F">
                              <w:rPr>
                                <w:rFonts w:asciiTheme="majorHAnsi" w:hAnsiTheme="majorHAnsi"/>
                                <w:sz w:val="22"/>
                                <w:szCs w:val="22"/>
                              </w:rPr>
                              <w:t>außerhalb geschlossener Ortslagen. Die RStO dienen der Schaffung und Beibehaltung eines Befestigungsstandards für Fahrbahnen und sonstige Verkehrsflächen des Straßenverkehrs durch Anwendung technisch geeigneter und wirtschaftlicher Bauweisen. Sie berücksichtigen vor allem die Funktion der Verkehrsfläche, die Verkehrsbelastung, die Lage der Verkehrsfläche im Gelände, die Bodenverhältnisse, die Bauweise und den Zustand einer zu erneuernden Verkehrsfläche sowie die Bedingungen, die sich durch die freie Strecke oder die geschlossene Ortslage ergeben.</w:t>
                            </w:r>
                          </w:p>
                          <w:p w14:paraId="703DAC61" w14:textId="060638A7" w:rsidR="001B1C6F" w:rsidRPr="001B1C6F" w:rsidRDefault="001B1C6F" w:rsidP="001B1C6F">
                            <w:pPr>
                              <w:pStyle w:val="StandardWeb"/>
                              <w:rPr>
                                <w:rFonts w:asciiTheme="majorHAnsi" w:hAnsiTheme="majorHAnsi"/>
                                <w:sz w:val="22"/>
                                <w:szCs w:val="22"/>
                              </w:rPr>
                            </w:pPr>
                            <w:r w:rsidRPr="001B1C6F">
                              <w:rPr>
                                <w:rFonts w:asciiTheme="majorHAnsi" w:hAnsiTheme="majorHAnsi"/>
                                <w:sz w:val="22"/>
                                <w:szCs w:val="22"/>
                              </w:rPr>
                              <w:t xml:space="preserve">Die neue Fassung 2024 der RStO berücksichtigt unter anderem </w:t>
                            </w:r>
                            <w:r>
                              <w:rPr>
                                <w:rFonts w:asciiTheme="majorHAnsi" w:hAnsiTheme="majorHAnsi"/>
                                <w:sz w:val="22"/>
                                <w:szCs w:val="22"/>
                              </w:rPr>
                              <w:br/>
                            </w:r>
                            <w:r w:rsidRPr="001B1C6F">
                              <w:rPr>
                                <w:rFonts w:asciiTheme="majorHAnsi" w:hAnsiTheme="majorHAnsi"/>
                                <w:sz w:val="22"/>
                                <w:szCs w:val="22"/>
                              </w:rPr>
                              <w:t xml:space="preserve">Anforderungen an nachhaltiges Handeln bei der Dimensionierung von Straßenbefestigungen, Änderungen in den Tabellen bei den Belastungsklassen sowie Anpassungen in den Tafeln bei den </w:t>
                            </w:r>
                            <w:r>
                              <w:rPr>
                                <w:rFonts w:asciiTheme="majorHAnsi" w:hAnsiTheme="majorHAnsi"/>
                                <w:sz w:val="22"/>
                                <w:szCs w:val="22"/>
                              </w:rPr>
                              <w:br/>
                            </w:r>
                            <w:r w:rsidRPr="001B1C6F">
                              <w:rPr>
                                <w:rFonts w:asciiTheme="majorHAnsi" w:hAnsiTheme="majorHAnsi"/>
                                <w:sz w:val="22"/>
                                <w:szCs w:val="22"/>
                              </w:rPr>
                              <w:t>Dicken der Frostschutzschichten und des Mindestverformungs</w:t>
                            </w:r>
                            <w:r>
                              <w:rPr>
                                <w:rFonts w:asciiTheme="majorHAnsi" w:hAnsiTheme="majorHAnsi"/>
                                <w:sz w:val="22"/>
                                <w:szCs w:val="22"/>
                              </w:rPr>
                              <w:t>-</w:t>
                            </w:r>
                            <w:r w:rsidRPr="001B1C6F">
                              <w:rPr>
                                <w:rFonts w:asciiTheme="majorHAnsi" w:hAnsiTheme="majorHAnsi"/>
                                <w:sz w:val="22"/>
                                <w:szCs w:val="22"/>
                              </w:rPr>
                              <w:t xml:space="preserve">moduls für den Bau von Rad- und Gehwegen. Auch weitere </w:t>
                            </w:r>
                            <w:r>
                              <w:rPr>
                                <w:rFonts w:asciiTheme="majorHAnsi" w:hAnsiTheme="majorHAnsi"/>
                                <w:sz w:val="22"/>
                                <w:szCs w:val="22"/>
                              </w:rPr>
                              <w:br/>
                            </w:r>
                            <w:r w:rsidRPr="001B1C6F">
                              <w:rPr>
                                <w:rFonts w:asciiTheme="majorHAnsi" w:hAnsiTheme="majorHAnsi"/>
                                <w:sz w:val="22"/>
                                <w:szCs w:val="22"/>
                              </w:rPr>
                              <w:t>Erkenntnisse aus der Praxis sowie Änderungen in anderen Regelwerken sind eingearbeitet worden.</w:t>
                            </w:r>
                          </w:p>
                          <w:p w14:paraId="090AE740" w14:textId="1164D44A" w:rsidR="001B1C6F" w:rsidRPr="001B1C6F" w:rsidRDefault="001B1C6F" w:rsidP="001B1C6F">
                            <w:pPr>
                              <w:pStyle w:val="StandardWeb"/>
                              <w:rPr>
                                <w:rFonts w:asciiTheme="majorHAnsi" w:hAnsiTheme="majorHAnsi"/>
                                <w:sz w:val="22"/>
                                <w:szCs w:val="22"/>
                              </w:rPr>
                            </w:pPr>
                            <w:r w:rsidRPr="001B1C6F">
                              <w:rPr>
                                <w:rFonts w:asciiTheme="majorHAnsi" w:hAnsiTheme="majorHAnsi"/>
                                <w:sz w:val="22"/>
                                <w:szCs w:val="22"/>
                              </w:rPr>
                              <w:t>Der frühere Anhang 2 „Beispiele“ ist in einer separaten Beispielsammlung (FGSV 499/1: Beispielsammlung zu den Richtlinien für die Standardisierung des Oberbaus von Verkehrsflächen) ausgelagert.</w:t>
                            </w:r>
                          </w:p>
                          <w:p w14:paraId="6D47BDC9" w14:textId="3AA50CB7" w:rsidR="00365687" w:rsidRPr="00777421" w:rsidRDefault="00365687" w:rsidP="00777421">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95.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l44A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" filled="f" stroked="f">
                <v:textbox inset="0,0,,0">
                  <w:txbxContent>
                    <w:p w14:paraId="689678D5" w14:textId="74BE27DB" w:rsidR="00491F7F" w:rsidRPr="00CE5B66" w:rsidRDefault="00E658DF" w:rsidP="00491F7F">
                      <w:pPr>
                        <w:pStyle w:val="StandardWeb"/>
                        <w:rPr>
                          <w:rFonts w:asciiTheme="majorHAnsi" w:hAnsiTheme="majorHAnsi" w:cs="Arial"/>
                          <w:sz w:val="22"/>
                          <w:szCs w:val="22"/>
                        </w:rPr>
                      </w:pPr>
                      <w:r w:rsidRPr="00CE5B66">
                        <w:rPr>
                          <w:rFonts w:asciiTheme="majorHAnsi" w:hAnsiTheme="majorHAnsi" w:cs="Arial"/>
                          <w:sz w:val="22"/>
                          <w:szCs w:val="22"/>
                        </w:rPr>
                        <w:t>Die Forschungsgesellschaft für Straßen- und Verkehrswesen (FGSV) hat mit einer Ausgabe 20</w:t>
                      </w:r>
                      <w:r w:rsidR="00FB13BA">
                        <w:rPr>
                          <w:rFonts w:asciiTheme="majorHAnsi" w:hAnsiTheme="majorHAnsi" w:cs="Arial"/>
                          <w:sz w:val="22"/>
                          <w:szCs w:val="22"/>
                        </w:rPr>
                        <w:t>12/Fassung 2024</w:t>
                      </w:r>
                      <w:r w:rsidRPr="00CE5B66">
                        <w:rPr>
                          <w:rFonts w:asciiTheme="majorHAnsi" w:hAnsiTheme="majorHAnsi" w:cs="Arial"/>
                          <w:sz w:val="22"/>
                          <w:szCs w:val="22"/>
                        </w:rPr>
                        <w:t xml:space="preserve"> die „</w:t>
                      </w:r>
                      <w:r w:rsidR="00FB13BA">
                        <w:rPr>
                          <w:rFonts w:asciiTheme="majorHAnsi" w:hAnsiTheme="majorHAnsi" w:cs="Arial"/>
                          <w:sz w:val="22"/>
                          <w:szCs w:val="22"/>
                        </w:rPr>
                        <w:t>Richt-</w:t>
                      </w:r>
                      <w:r w:rsidR="00FB13BA">
                        <w:rPr>
                          <w:rFonts w:asciiTheme="majorHAnsi" w:hAnsiTheme="majorHAnsi" w:cs="Arial"/>
                          <w:sz w:val="22"/>
                          <w:szCs w:val="22"/>
                        </w:rPr>
                        <w:br/>
                        <w:t>linien für die Standardisierung des Oberbaus von Verkehrsflächen</w:t>
                      </w:r>
                      <w:r w:rsidRPr="00CE5B66">
                        <w:rPr>
                          <w:rFonts w:asciiTheme="majorHAnsi" w:hAnsiTheme="majorHAnsi" w:cs="Arial"/>
                          <w:sz w:val="22"/>
                          <w:szCs w:val="22"/>
                        </w:rPr>
                        <w:t>" (</w:t>
                      </w:r>
                      <w:r w:rsidR="00FB13BA">
                        <w:rPr>
                          <w:rFonts w:asciiTheme="majorHAnsi" w:hAnsiTheme="majorHAnsi" w:cs="Arial"/>
                          <w:sz w:val="22"/>
                          <w:szCs w:val="22"/>
                        </w:rPr>
                        <w:t>RStO 12/24</w:t>
                      </w:r>
                      <w:r w:rsidRPr="00CE5B66">
                        <w:rPr>
                          <w:rFonts w:asciiTheme="majorHAnsi" w:hAnsiTheme="majorHAnsi" w:cs="Arial"/>
                          <w:sz w:val="22"/>
                          <w:szCs w:val="22"/>
                        </w:rPr>
                        <w:t xml:space="preserve">) herausgegeben. Sie ersetzen die </w:t>
                      </w:r>
                      <w:r w:rsidR="00C3467C">
                        <w:rPr>
                          <w:rFonts w:asciiTheme="majorHAnsi" w:hAnsiTheme="majorHAnsi" w:cs="Arial"/>
                          <w:sz w:val="22"/>
                          <w:szCs w:val="22"/>
                        </w:rPr>
                        <w:t xml:space="preserve">gleichnamige </w:t>
                      </w:r>
                      <w:r w:rsidR="00FB13BA">
                        <w:rPr>
                          <w:rFonts w:asciiTheme="majorHAnsi" w:hAnsiTheme="majorHAnsi" w:cs="Arial"/>
                          <w:sz w:val="22"/>
                          <w:szCs w:val="22"/>
                        </w:rPr>
                        <w:br/>
                      </w:r>
                      <w:r w:rsidR="00C3467C">
                        <w:rPr>
                          <w:rFonts w:asciiTheme="majorHAnsi" w:hAnsiTheme="majorHAnsi" w:cs="Arial"/>
                          <w:sz w:val="22"/>
                          <w:szCs w:val="22"/>
                        </w:rPr>
                        <w:t>Ausgabe von 20</w:t>
                      </w:r>
                      <w:r w:rsidR="00FB13BA">
                        <w:rPr>
                          <w:rFonts w:asciiTheme="majorHAnsi" w:hAnsiTheme="majorHAnsi" w:cs="Arial"/>
                          <w:sz w:val="22"/>
                          <w:szCs w:val="22"/>
                        </w:rPr>
                        <w:t>12</w:t>
                      </w:r>
                      <w:r w:rsidR="00C3467C">
                        <w:rPr>
                          <w:rFonts w:asciiTheme="majorHAnsi" w:hAnsiTheme="majorHAnsi" w:cs="Arial"/>
                          <w:sz w:val="22"/>
                          <w:szCs w:val="22"/>
                        </w:rPr>
                        <w:t xml:space="preserve">. </w:t>
                      </w:r>
                      <w:r w:rsidR="00491F7F" w:rsidRPr="00CE5B66">
                        <w:rPr>
                          <w:rFonts w:asciiTheme="majorHAnsi" w:hAnsiTheme="majorHAnsi" w:cs="Arial"/>
                          <w:sz w:val="22"/>
                          <w:szCs w:val="22"/>
                        </w:rPr>
                        <w:t xml:space="preserve">Der Bezugspreis ist </w:t>
                      </w:r>
                      <w:r w:rsidR="00FB13BA">
                        <w:rPr>
                          <w:rFonts w:asciiTheme="majorHAnsi" w:hAnsiTheme="majorHAnsi" w:cs="Arial"/>
                          <w:sz w:val="22"/>
                          <w:szCs w:val="22"/>
                        </w:rPr>
                        <w:t>51</w:t>
                      </w:r>
                      <w:r w:rsidR="00491F7F" w:rsidRPr="00CE5B66">
                        <w:rPr>
                          <w:rFonts w:asciiTheme="majorHAnsi" w:hAnsiTheme="majorHAnsi" w:cs="Arial"/>
                          <w:sz w:val="22"/>
                          <w:szCs w:val="22"/>
                        </w:rPr>
                        <w:t>,</w:t>
                      </w:r>
                      <w:r w:rsidR="00FB13BA">
                        <w:rPr>
                          <w:rFonts w:asciiTheme="majorHAnsi" w:hAnsiTheme="majorHAnsi" w:cs="Arial"/>
                          <w:sz w:val="22"/>
                          <w:szCs w:val="22"/>
                        </w:rPr>
                        <w:t>0</w:t>
                      </w:r>
                      <w:r w:rsidR="00491F7F" w:rsidRPr="00CE5B66">
                        <w:rPr>
                          <w:rFonts w:asciiTheme="majorHAnsi" w:hAnsiTheme="majorHAnsi" w:cs="Arial"/>
                          <w:sz w:val="22"/>
                          <w:szCs w:val="22"/>
                        </w:rPr>
                        <w:t>0 EUR (FGSV</w:t>
                      </w:r>
                      <w:r w:rsidR="00FB13BA">
                        <w:rPr>
                          <w:rFonts w:asciiTheme="majorHAnsi" w:hAnsiTheme="majorHAnsi" w:cs="Arial"/>
                          <w:sz w:val="22"/>
                          <w:szCs w:val="22"/>
                        </w:rPr>
                        <w:t>-</w:t>
                      </w:r>
                      <w:r w:rsidR="00491F7F" w:rsidRPr="00CE5B66">
                        <w:rPr>
                          <w:rFonts w:asciiTheme="majorHAnsi" w:hAnsiTheme="majorHAnsi" w:cs="Arial"/>
                          <w:sz w:val="22"/>
                          <w:szCs w:val="22"/>
                        </w:rPr>
                        <w:t>Mit</w:t>
                      </w:r>
                      <w:r w:rsidR="00FB13BA">
                        <w:rPr>
                          <w:rFonts w:asciiTheme="majorHAnsi" w:hAnsiTheme="majorHAnsi" w:cs="Arial"/>
                          <w:sz w:val="22"/>
                          <w:szCs w:val="22"/>
                        </w:rPr>
                        <w:t>-</w:t>
                      </w:r>
                      <w:r w:rsidR="00491F7F" w:rsidRPr="00CE5B66">
                        <w:rPr>
                          <w:rFonts w:asciiTheme="majorHAnsi" w:hAnsiTheme="majorHAnsi" w:cs="Arial"/>
                          <w:sz w:val="22"/>
                          <w:szCs w:val="22"/>
                        </w:rPr>
                        <w:t>glieder</w:t>
                      </w:r>
                      <w:r w:rsidR="00C3467C">
                        <w:rPr>
                          <w:rFonts w:asciiTheme="majorHAnsi" w:hAnsiTheme="majorHAnsi" w:cs="Arial"/>
                          <w:sz w:val="22"/>
                          <w:szCs w:val="22"/>
                        </w:rPr>
                        <w:t xml:space="preserve"> </w:t>
                      </w:r>
                      <w:r w:rsidR="00491F7F" w:rsidRPr="00CE5B66">
                        <w:rPr>
                          <w:rFonts w:asciiTheme="majorHAnsi" w:hAnsiTheme="majorHAnsi" w:cs="Arial"/>
                          <w:sz w:val="22"/>
                          <w:szCs w:val="22"/>
                        </w:rPr>
                        <w:t>erhalten einen</w:t>
                      </w:r>
                      <w:r w:rsidR="001D167E" w:rsidRPr="00CE5B66">
                        <w:rPr>
                          <w:rFonts w:asciiTheme="majorHAnsi" w:hAnsiTheme="majorHAnsi" w:cs="Arial"/>
                          <w:sz w:val="22"/>
                          <w:szCs w:val="22"/>
                        </w:rPr>
                        <w:t xml:space="preserve"> </w:t>
                      </w:r>
                      <w:r w:rsidR="00491F7F" w:rsidRPr="00CE5B66">
                        <w:rPr>
                          <w:rFonts w:asciiTheme="majorHAnsi" w:hAnsiTheme="majorHAnsi" w:cs="Arial"/>
                          <w:sz w:val="22"/>
                          <w:szCs w:val="22"/>
                        </w:rPr>
                        <w:t>Rabatt von 30 %).</w:t>
                      </w:r>
                    </w:p>
                    <w:p w14:paraId="687BCB93" w14:textId="430A2E54" w:rsidR="001B1C6F" w:rsidRPr="001B1C6F" w:rsidRDefault="001B1C6F" w:rsidP="001B1C6F">
                      <w:pPr>
                        <w:pStyle w:val="StandardWeb"/>
                        <w:rPr>
                          <w:rFonts w:asciiTheme="majorHAnsi" w:hAnsiTheme="majorHAnsi"/>
                          <w:sz w:val="22"/>
                          <w:szCs w:val="22"/>
                        </w:rPr>
                      </w:pPr>
                      <w:r w:rsidRPr="001B1C6F">
                        <w:rPr>
                          <w:rFonts w:asciiTheme="majorHAnsi" w:hAnsiTheme="majorHAnsi"/>
                          <w:sz w:val="22"/>
                          <w:szCs w:val="22"/>
                        </w:rPr>
                        <w:t xml:space="preserve">Die „Richtlinien für die Standardisierung des Oberbaus von </w:t>
                      </w:r>
                      <w:r>
                        <w:rPr>
                          <w:rFonts w:asciiTheme="majorHAnsi" w:hAnsiTheme="majorHAnsi"/>
                          <w:sz w:val="22"/>
                          <w:szCs w:val="22"/>
                        </w:rPr>
                        <w:br/>
                      </w:r>
                      <w:r w:rsidRPr="001B1C6F">
                        <w:rPr>
                          <w:rFonts w:asciiTheme="majorHAnsi" w:hAnsiTheme="majorHAnsi"/>
                          <w:sz w:val="22"/>
                          <w:szCs w:val="22"/>
                        </w:rPr>
                        <w:t xml:space="preserve">Verkehrsflächen“, Ausgabe 2012/Fassung 2024 (RStO 12/24) </w:t>
                      </w:r>
                      <w:r>
                        <w:rPr>
                          <w:rFonts w:asciiTheme="majorHAnsi" w:hAnsiTheme="majorHAnsi"/>
                          <w:sz w:val="22"/>
                          <w:szCs w:val="22"/>
                        </w:rPr>
                        <w:br/>
                      </w:r>
                      <w:r w:rsidRPr="001B1C6F">
                        <w:rPr>
                          <w:rFonts w:asciiTheme="majorHAnsi" w:hAnsiTheme="majorHAnsi"/>
                          <w:sz w:val="22"/>
                          <w:szCs w:val="22"/>
                        </w:rPr>
                        <w:t xml:space="preserve">ersetzen die gleichnamigen Richtlinien, Ausgabe 2012 (RStO 12). Sie regeln die Standardfälle bei Neubau und Erneuerung für den standardisierten Oberbau von Verkehrsflächen innerhalb und </w:t>
                      </w:r>
                      <w:r>
                        <w:rPr>
                          <w:rFonts w:asciiTheme="majorHAnsi" w:hAnsiTheme="majorHAnsi"/>
                          <w:sz w:val="22"/>
                          <w:szCs w:val="22"/>
                        </w:rPr>
                        <w:br/>
                      </w:r>
                      <w:r w:rsidRPr="001B1C6F">
                        <w:rPr>
                          <w:rFonts w:asciiTheme="majorHAnsi" w:hAnsiTheme="majorHAnsi"/>
                          <w:sz w:val="22"/>
                          <w:szCs w:val="22"/>
                        </w:rPr>
                        <w:t>außerhalb geschlossener Ortslagen. Die RStO dienen der Schaffung und Beibehaltung eines Befestigungsstandards für Fahrbahnen und sonstige Verkehrsflächen des Straßenverkehrs durch Anwendung technisch geeigneter und wirtschaftlicher Bauweisen. Sie berücksichtigen vor allem die Funktion der Verkehrsfläche, die Verkehrsbelastung, die Lage der Verkehrsfläche im Gelände, die Bodenverhältnisse, die Bauweise und den Zustand einer zu erneuernden Verkehrsfläche sowie die Bedingungen, die sich durch die freie Strecke oder die geschlossene Ortslage ergeben.</w:t>
                      </w:r>
                    </w:p>
                    <w:p w14:paraId="703DAC61" w14:textId="060638A7" w:rsidR="001B1C6F" w:rsidRPr="001B1C6F" w:rsidRDefault="001B1C6F" w:rsidP="001B1C6F">
                      <w:pPr>
                        <w:pStyle w:val="StandardWeb"/>
                        <w:rPr>
                          <w:rFonts w:asciiTheme="majorHAnsi" w:hAnsiTheme="majorHAnsi"/>
                          <w:sz w:val="22"/>
                          <w:szCs w:val="22"/>
                        </w:rPr>
                      </w:pPr>
                      <w:r w:rsidRPr="001B1C6F">
                        <w:rPr>
                          <w:rFonts w:asciiTheme="majorHAnsi" w:hAnsiTheme="majorHAnsi"/>
                          <w:sz w:val="22"/>
                          <w:szCs w:val="22"/>
                        </w:rPr>
                        <w:t xml:space="preserve">Die neue Fassung 2024 der RStO berücksichtigt unter anderem </w:t>
                      </w:r>
                      <w:r>
                        <w:rPr>
                          <w:rFonts w:asciiTheme="majorHAnsi" w:hAnsiTheme="majorHAnsi"/>
                          <w:sz w:val="22"/>
                          <w:szCs w:val="22"/>
                        </w:rPr>
                        <w:br/>
                      </w:r>
                      <w:r w:rsidRPr="001B1C6F">
                        <w:rPr>
                          <w:rFonts w:asciiTheme="majorHAnsi" w:hAnsiTheme="majorHAnsi"/>
                          <w:sz w:val="22"/>
                          <w:szCs w:val="22"/>
                        </w:rPr>
                        <w:t xml:space="preserve">Anforderungen an nachhaltiges Handeln bei der Dimensionierung von Straßenbefestigungen, Änderungen in den Tabellen bei den Belastungsklassen sowie Anpassungen in den Tafeln bei den </w:t>
                      </w:r>
                      <w:r>
                        <w:rPr>
                          <w:rFonts w:asciiTheme="majorHAnsi" w:hAnsiTheme="majorHAnsi"/>
                          <w:sz w:val="22"/>
                          <w:szCs w:val="22"/>
                        </w:rPr>
                        <w:br/>
                      </w:r>
                      <w:r w:rsidRPr="001B1C6F">
                        <w:rPr>
                          <w:rFonts w:asciiTheme="majorHAnsi" w:hAnsiTheme="majorHAnsi"/>
                          <w:sz w:val="22"/>
                          <w:szCs w:val="22"/>
                        </w:rPr>
                        <w:t>Dicken der Frostschutzschichten und des Mindestverformungs</w:t>
                      </w:r>
                      <w:r>
                        <w:rPr>
                          <w:rFonts w:asciiTheme="majorHAnsi" w:hAnsiTheme="majorHAnsi"/>
                          <w:sz w:val="22"/>
                          <w:szCs w:val="22"/>
                        </w:rPr>
                        <w:t>-</w:t>
                      </w:r>
                      <w:r w:rsidRPr="001B1C6F">
                        <w:rPr>
                          <w:rFonts w:asciiTheme="majorHAnsi" w:hAnsiTheme="majorHAnsi"/>
                          <w:sz w:val="22"/>
                          <w:szCs w:val="22"/>
                        </w:rPr>
                        <w:t xml:space="preserve">moduls für den Bau von Rad- und Gehwegen. Auch weitere </w:t>
                      </w:r>
                      <w:r>
                        <w:rPr>
                          <w:rFonts w:asciiTheme="majorHAnsi" w:hAnsiTheme="majorHAnsi"/>
                          <w:sz w:val="22"/>
                          <w:szCs w:val="22"/>
                        </w:rPr>
                        <w:br/>
                      </w:r>
                      <w:r w:rsidRPr="001B1C6F">
                        <w:rPr>
                          <w:rFonts w:asciiTheme="majorHAnsi" w:hAnsiTheme="majorHAnsi"/>
                          <w:sz w:val="22"/>
                          <w:szCs w:val="22"/>
                        </w:rPr>
                        <w:t>Erkenntnisse aus der Praxis sowie Änderungen in anderen Regelwerken sind eingearbeitet worden.</w:t>
                      </w:r>
                    </w:p>
                    <w:p w14:paraId="090AE740" w14:textId="1164D44A" w:rsidR="001B1C6F" w:rsidRPr="001B1C6F" w:rsidRDefault="001B1C6F" w:rsidP="001B1C6F">
                      <w:pPr>
                        <w:pStyle w:val="StandardWeb"/>
                        <w:rPr>
                          <w:rFonts w:asciiTheme="majorHAnsi" w:hAnsiTheme="majorHAnsi"/>
                          <w:sz w:val="22"/>
                          <w:szCs w:val="22"/>
                        </w:rPr>
                      </w:pPr>
                      <w:r w:rsidRPr="001B1C6F">
                        <w:rPr>
                          <w:rFonts w:asciiTheme="majorHAnsi" w:hAnsiTheme="majorHAnsi"/>
                          <w:sz w:val="22"/>
                          <w:szCs w:val="22"/>
                        </w:rPr>
                        <w:t>Der frühere Anhang 2 „Beispiele“ ist in einer separaten Beispielsammlung (FGSV 499/1: Beispielsammlung zu den Richtlinien für die Standardisierung des Oberbaus von Verkehrsflächen) ausgelagert.</w:t>
                      </w:r>
                    </w:p>
                    <w:p w14:paraId="6D47BDC9" w14:textId="3AA50CB7" w:rsidR="00365687" w:rsidRPr="00777421" w:rsidRDefault="00365687" w:rsidP="00777421">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177731B">
                <wp:simplePos x="0" y="0"/>
                <wp:positionH relativeFrom="page">
                  <wp:posOffset>323850</wp:posOffset>
                </wp:positionH>
                <wp:positionV relativeFrom="page">
                  <wp:posOffset>6198870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88.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sB5gEAAKkDAAAOAAAAZHJzL2Uyb0RvYy54bWysU9tu2zAMfR+wfxD0vjj2kn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3E2BCD80">
                <wp:simplePos x="0" y="0"/>
                <wp:positionH relativeFrom="page">
                  <wp:posOffset>342900</wp:posOffset>
                </wp:positionH>
                <wp:positionV relativeFrom="page">
                  <wp:posOffset>3360420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3FF6E621" w:rsidR="00491F7F" w:rsidRPr="00386479" w:rsidRDefault="007636FD" w:rsidP="00491F7F">
                            <w:pPr>
                              <w:pStyle w:val="berschrift1"/>
                              <w:rPr>
                                <w:rFonts w:ascii="DIN Pro" w:hAnsi="DIN Pro" w:cs="Helvetica"/>
                                <w:sz w:val="24"/>
                                <w:szCs w:val="24"/>
                              </w:rPr>
                            </w:pPr>
                            <w:r>
                              <w:rPr>
                                <w:rFonts w:ascii="DIN Pro" w:hAnsi="DIN Pro" w:cs="Helvetica"/>
                                <w:sz w:val="24"/>
                                <w:szCs w:val="24"/>
                              </w:rPr>
                              <w:t>RStO 12/24</w:t>
                            </w:r>
                            <w:r w:rsidR="007E7633">
                              <w:rPr>
                                <w:rFonts w:ascii="DIN Pro" w:hAnsi="DIN Pro" w:cs="Helvetica"/>
                                <w:sz w:val="24"/>
                                <w:szCs w:val="24"/>
                              </w:rPr>
                              <w:t>,</w:t>
                            </w:r>
                            <w:r w:rsidR="00C267D5">
                              <w:rPr>
                                <w:rFonts w:ascii="DIN Pro" w:hAnsi="DIN Pro" w:cs="Helvetica"/>
                                <w:sz w:val="24"/>
                                <w:szCs w:val="24"/>
                              </w:rPr>
                              <w:t xml:space="preserve"> </w:t>
                            </w:r>
                            <w:r>
                              <w:rPr>
                                <w:rFonts w:ascii="DIN Pro" w:hAnsi="DIN Pro" w:cs="Helvetica"/>
                                <w:sz w:val="24"/>
                                <w:szCs w:val="24"/>
                              </w:rPr>
                              <w:br/>
                            </w:r>
                            <w:r w:rsidR="007E7633">
                              <w:rPr>
                                <w:rFonts w:ascii="DIN Pro" w:hAnsi="DIN Pro" w:cs="Helvetica"/>
                                <w:sz w:val="24"/>
                                <w:szCs w:val="24"/>
                              </w:rPr>
                              <w:t>Ausgabe 20</w:t>
                            </w:r>
                            <w:r>
                              <w:rPr>
                                <w:rFonts w:ascii="DIN Pro" w:hAnsi="DIN Pro" w:cs="Helvetica"/>
                                <w:sz w:val="24"/>
                                <w:szCs w:val="24"/>
                              </w:rPr>
                              <w:t>12/Fassung 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3A54F7C0" w:rsidR="00491F7F" w:rsidRPr="00715586" w:rsidRDefault="007636FD"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40</w:t>
                            </w:r>
                            <w:r w:rsidR="00491F7F">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R 1</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51</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0</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79FC36B0"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7636FD">
                              <w:rPr>
                                <w:rStyle w:val="InhaltsverzeichnisNummerZeichen"/>
                                <w:rFonts w:ascii="DIN Pro" w:hAnsi="DIN Pro" w:cs="Helvetica"/>
                                <w:color w:val="auto"/>
                                <w:sz w:val="20"/>
                                <w:szCs w:val="20"/>
                              </w:rPr>
                              <w:t>499</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64.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" filled="f" stroked="f" strokecolor="#c30">
                <v:textbox>
                  <w:txbxContent>
                    <w:p w14:paraId="069F1778" w14:textId="3FF6E621" w:rsidR="00491F7F" w:rsidRPr="00386479" w:rsidRDefault="007636FD" w:rsidP="00491F7F">
                      <w:pPr>
                        <w:pStyle w:val="berschrift1"/>
                        <w:rPr>
                          <w:rFonts w:ascii="DIN Pro" w:hAnsi="DIN Pro" w:cs="Helvetica"/>
                          <w:sz w:val="24"/>
                          <w:szCs w:val="24"/>
                        </w:rPr>
                      </w:pPr>
                      <w:r>
                        <w:rPr>
                          <w:rFonts w:ascii="DIN Pro" w:hAnsi="DIN Pro" w:cs="Helvetica"/>
                          <w:sz w:val="24"/>
                          <w:szCs w:val="24"/>
                        </w:rPr>
                        <w:t>RStO 12/24</w:t>
                      </w:r>
                      <w:r w:rsidR="007E7633">
                        <w:rPr>
                          <w:rFonts w:ascii="DIN Pro" w:hAnsi="DIN Pro" w:cs="Helvetica"/>
                          <w:sz w:val="24"/>
                          <w:szCs w:val="24"/>
                        </w:rPr>
                        <w:t>,</w:t>
                      </w:r>
                      <w:r w:rsidR="00C267D5">
                        <w:rPr>
                          <w:rFonts w:ascii="DIN Pro" w:hAnsi="DIN Pro" w:cs="Helvetica"/>
                          <w:sz w:val="24"/>
                          <w:szCs w:val="24"/>
                        </w:rPr>
                        <w:t xml:space="preserve"> </w:t>
                      </w:r>
                      <w:r>
                        <w:rPr>
                          <w:rFonts w:ascii="DIN Pro" w:hAnsi="DIN Pro" w:cs="Helvetica"/>
                          <w:sz w:val="24"/>
                          <w:szCs w:val="24"/>
                        </w:rPr>
                        <w:br/>
                      </w:r>
                      <w:r w:rsidR="007E7633">
                        <w:rPr>
                          <w:rFonts w:ascii="DIN Pro" w:hAnsi="DIN Pro" w:cs="Helvetica"/>
                          <w:sz w:val="24"/>
                          <w:szCs w:val="24"/>
                        </w:rPr>
                        <w:t>Ausgabe 20</w:t>
                      </w:r>
                      <w:r>
                        <w:rPr>
                          <w:rFonts w:ascii="DIN Pro" w:hAnsi="DIN Pro" w:cs="Helvetica"/>
                          <w:sz w:val="24"/>
                          <w:szCs w:val="24"/>
                        </w:rPr>
                        <w:t>12/Fassung 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3A54F7C0" w:rsidR="00491F7F" w:rsidRPr="00715586" w:rsidRDefault="007636FD"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40</w:t>
                      </w:r>
                      <w:r w:rsidR="00491F7F">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R 1</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51</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0</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79FC36B0"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7636FD">
                        <w:rPr>
                          <w:rStyle w:val="InhaltsverzeichnisNummerZeichen"/>
                          <w:rFonts w:ascii="DIN Pro" w:hAnsi="DIN Pro" w:cs="Helvetica"/>
                          <w:color w:val="auto"/>
                          <w:sz w:val="20"/>
                          <w:szCs w:val="20"/>
                        </w:rPr>
                        <w:t>499</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273BDA20">
                <wp:simplePos x="0" y="0"/>
                <wp:positionH relativeFrom="page">
                  <wp:posOffset>457200</wp:posOffset>
                </wp:positionH>
                <wp:positionV relativeFrom="page">
                  <wp:posOffset>8218170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47.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AJ4wEAAKkDAAAOAAAAZHJzL2Uyb0RvYy54bWysU8tu2zAQvBfoPxC817IFK0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C3467C" w:rsidRPr="00BE0FFC">
        <w:rPr>
          <w:i/>
          <w:noProof/>
        </w:rPr>
        <mc:AlternateContent>
          <mc:Choice Requires="wps">
            <w:drawing>
              <wp:anchor distT="0" distB="0" distL="114300" distR="114300" simplePos="0" relativeHeight="251635712" behindDoc="0" locked="0" layoutInCell="1" allowOverlap="1" wp14:anchorId="6955EF06" wp14:editId="39677C10">
                <wp:simplePos x="0" y="0"/>
                <wp:positionH relativeFrom="page">
                  <wp:posOffset>2971800</wp:posOffset>
                </wp:positionH>
                <wp:positionV relativeFrom="page">
                  <wp:posOffset>2638425</wp:posOffset>
                </wp:positionV>
                <wp:extent cx="4105275" cy="87630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71A2D5BE" w:rsidR="00491F7F" w:rsidRPr="0066239E" w:rsidRDefault="004808CE"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RStO 12/24</w:t>
                            </w:r>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Richtlinien für die Standardisierung des Oberbaus von Verkehrsflächen</w:t>
                            </w:r>
                            <w:r w:rsidR="00561DA8">
                              <w:rPr>
                                <w:rFonts w:ascii="DIN Pro" w:hAnsi="DIN Pro"/>
                                <w:color w:val="31849B" w:themeColor="accent5" w:themeShade="BF"/>
                                <w:sz w:val="24"/>
                                <w:szCs w:val="24"/>
                              </w:rPr>
                              <w:t xml:space="preserve">, </w:t>
                            </w:r>
                            <w:r>
                              <w:rPr>
                                <w:rFonts w:ascii="DIN Pro" w:hAnsi="DIN Pro"/>
                                <w:color w:val="31849B" w:themeColor="accent5" w:themeShade="BF"/>
                                <w:sz w:val="24"/>
                                <w:szCs w:val="24"/>
                              </w:rPr>
                              <w:br/>
                            </w:r>
                            <w:r w:rsidR="00561DA8">
                              <w:rPr>
                                <w:rFonts w:ascii="DIN Pro" w:hAnsi="DIN Pro"/>
                                <w:color w:val="31849B" w:themeColor="accent5" w:themeShade="BF"/>
                                <w:sz w:val="24"/>
                                <w:szCs w:val="24"/>
                              </w:rPr>
                              <w:t>Ausgabe 20</w:t>
                            </w:r>
                            <w:r>
                              <w:rPr>
                                <w:rFonts w:ascii="DIN Pro" w:hAnsi="DIN Pro"/>
                                <w:color w:val="31849B" w:themeColor="accent5" w:themeShade="BF"/>
                                <w:sz w:val="24"/>
                                <w:szCs w:val="24"/>
                              </w:rPr>
                              <w:t>12/Fassung 20224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207.75pt;width:323.25pt;height:6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" filled="f" stroked="f">
                <v:textbox inset="0,0,0,0">
                  <w:txbxContent>
                    <w:p w14:paraId="661A6E8E" w14:textId="71A2D5BE" w:rsidR="00491F7F" w:rsidRPr="0066239E" w:rsidRDefault="004808CE"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RStO 12/24</w:t>
                      </w:r>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Richtlinien für die Standardisierung des Oberbaus von Verkehrsflächen</w:t>
                      </w:r>
                      <w:r w:rsidR="00561DA8">
                        <w:rPr>
                          <w:rFonts w:ascii="DIN Pro" w:hAnsi="DIN Pro"/>
                          <w:color w:val="31849B" w:themeColor="accent5" w:themeShade="BF"/>
                          <w:sz w:val="24"/>
                          <w:szCs w:val="24"/>
                        </w:rPr>
                        <w:t xml:space="preserve">, </w:t>
                      </w:r>
                      <w:r>
                        <w:rPr>
                          <w:rFonts w:ascii="DIN Pro" w:hAnsi="DIN Pro"/>
                          <w:color w:val="31849B" w:themeColor="accent5" w:themeShade="BF"/>
                          <w:sz w:val="24"/>
                          <w:szCs w:val="24"/>
                        </w:rPr>
                        <w:br/>
                      </w:r>
                      <w:r w:rsidR="00561DA8">
                        <w:rPr>
                          <w:rFonts w:ascii="DIN Pro" w:hAnsi="DIN Pro"/>
                          <w:color w:val="31849B" w:themeColor="accent5" w:themeShade="BF"/>
                          <w:sz w:val="24"/>
                          <w:szCs w:val="24"/>
                        </w:rPr>
                        <w:t>Ausgabe 20</w:t>
                      </w:r>
                      <w:r>
                        <w:rPr>
                          <w:rFonts w:ascii="DIN Pro" w:hAnsi="DIN Pro"/>
                          <w:color w:val="31849B" w:themeColor="accent5" w:themeShade="BF"/>
                          <w:sz w:val="24"/>
                          <w:szCs w:val="24"/>
                        </w:rPr>
                        <w:t>12/Fassung 20224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C3467C" w:rsidRPr="00BE0FFC">
        <w:rPr>
          <w:i/>
          <w:noProof/>
        </w:rPr>
        <mc:AlternateContent>
          <mc:Choice Requires="wps">
            <w:drawing>
              <wp:anchor distT="0" distB="0" distL="114300" distR="114300" simplePos="0" relativeHeight="251676672" behindDoc="0" locked="0" layoutInCell="1" allowOverlap="1" wp14:anchorId="33EF3212" wp14:editId="520F44D5">
                <wp:simplePos x="0" y="0"/>
                <wp:positionH relativeFrom="page">
                  <wp:posOffset>352425</wp:posOffset>
                </wp:positionH>
                <wp:positionV relativeFrom="page">
                  <wp:posOffset>2665095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41EEADB"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7636FD">
                              <w:rPr>
                                <w:rFonts w:ascii="DIN Pro" w:hAnsi="DIN Pro"/>
                                <w:sz w:val="20"/>
                                <w:szCs w:val="20"/>
                              </w:rPr>
                              <w:t>28</w:t>
                            </w:r>
                            <w:r w:rsidR="002F3CDF" w:rsidRPr="00092F03">
                              <w:rPr>
                                <w:rFonts w:ascii="DIN Pro" w:hAnsi="DIN Pro"/>
                                <w:sz w:val="20"/>
                                <w:szCs w:val="20"/>
                              </w:rPr>
                              <w:t>.</w:t>
                            </w:r>
                            <w:r w:rsidR="00C267D5">
                              <w:rPr>
                                <w:rFonts w:ascii="DIN Pro" w:hAnsi="DIN Pro"/>
                                <w:sz w:val="20"/>
                                <w:szCs w:val="20"/>
                              </w:rPr>
                              <w:t>0</w:t>
                            </w:r>
                            <w:r w:rsidR="00663EEF">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09.8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" filled="f" stroked="f">
                <v:textbox inset=",0,,0">
                  <w:txbxContent>
                    <w:p w14:paraId="4B7F21A1" w14:textId="341EEADB"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7636FD">
                        <w:rPr>
                          <w:rFonts w:ascii="DIN Pro" w:hAnsi="DIN Pro"/>
                          <w:sz w:val="20"/>
                          <w:szCs w:val="20"/>
                        </w:rPr>
                        <w:t>28</w:t>
                      </w:r>
                      <w:r w:rsidR="002F3CDF" w:rsidRPr="00092F03">
                        <w:rPr>
                          <w:rFonts w:ascii="DIN Pro" w:hAnsi="DIN Pro"/>
                          <w:sz w:val="20"/>
                          <w:szCs w:val="20"/>
                        </w:rPr>
                        <w:t>.</w:t>
                      </w:r>
                      <w:r w:rsidR="00C267D5">
                        <w:rPr>
                          <w:rFonts w:ascii="DIN Pro" w:hAnsi="DIN Pro"/>
                          <w:sz w:val="20"/>
                          <w:szCs w:val="20"/>
                        </w:rPr>
                        <w:t>0</w:t>
                      </w:r>
                      <w:r w:rsidR="00663EEF">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5"/>
  </w:num>
  <w:num w:numId="3" w16cid:durableId="231086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0"/>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0"/>
  </w:num>
  <w:num w:numId="12" w16cid:durableId="1493371618">
    <w:abstractNumId w:val="9"/>
  </w:num>
  <w:num w:numId="13" w16cid:durableId="2005469104">
    <w:abstractNumId w:val="18"/>
  </w:num>
  <w:num w:numId="14" w16cid:durableId="1990937497">
    <w:abstractNumId w:val="14"/>
  </w:num>
  <w:num w:numId="15" w16cid:durableId="1565603201">
    <w:abstractNumId w:val="13"/>
  </w:num>
  <w:num w:numId="16" w16cid:durableId="1824196569">
    <w:abstractNumId w:val="8"/>
  </w:num>
  <w:num w:numId="17" w16cid:durableId="714744085">
    <w:abstractNumId w:val="19"/>
  </w:num>
  <w:num w:numId="18" w16cid:durableId="456989410">
    <w:abstractNumId w:val="11"/>
  </w:num>
  <w:num w:numId="19" w16cid:durableId="493646552">
    <w:abstractNumId w:val="16"/>
  </w:num>
  <w:num w:numId="20" w16cid:durableId="447241671">
    <w:abstractNumId w:val="12"/>
  </w:num>
  <w:num w:numId="21" w16cid:durableId="81418141">
    <w:abstractNumId w:val="4"/>
  </w:num>
  <w:num w:numId="22" w16cid:durableId="1053701563">
    <w:abstractNumId w:val="17"/>
  </w:num>
  <w:num w:numId="23" w16cid:durableId="2488582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4052"/>
    <w:rsid w:val="00034455"/>
    <w:rsid w:val="00034CCF"/>
    <w:rsid w:val="000405E9"/>
    <w:rsid w:val="00047650"/>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B1C6F"/>
    <w:rsid w:val="001B7B75"/>
    <w:rsid w:val="001C3C32"/>
    <w:rsid w:val="001D1155"/>
    <w:rsid w:val="001D167E"/>
    <w:rsid w:val="001D1B15"/>
    <w:rsid w:val="001D1B47"/>
    <w:rsid w:val="001D1F90"/>
    <w:rsid w:val="001D4472"/>
    <w:rsid w:val="001D44C8"/>
    <w:rsid w:val="001D5C5E"/>
    <w:rsid w:val="001E050B"/>
    <w:rsid w:val="001E6D15"/>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D0619"/>
    <w:rsid w:val="002D0F15"/>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60E"/>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7012"/>
    <w:rsid w:val="004C0B64"/>
    <w:rsid w:val="004C2346"/>
    <w:rsid w:val="004C2F28"/>
    <w:rsid w:val="004C4E8F"/>
    <w:rsid w:val="004C5437"/>
    <w:rsid w:val="004C5B31"/>
    <w:rsid w:val="004C6825"/>
    <w:rsid w:val="004C6DF8"/>
    <w:rsid w:val="004D1B9C"/>
    <w:rsid w:val="004D208F"/>
    <w:rsid w:val="004D334A"/>
    <w:rsid w:val="004D49B7"/>
    <w:rsid w:val="004E0F81"/>
    <w:rsid w:val="004E2D45"/>
    <w:rsid w:val="004E2F14"/>
    <w:rsid w:val="004E4060"/>
    <w:rsid w:val="00500467"/>
    <w:rsid w:val="00500A64"/>
    <w:rsid w:val="00501CEB"/>
    <w:rsid w:val="005026BE"/>
    <w:rsid w:val="00503940"/>
    <w:rsid w:val="00510DF7"/>
    <w:rsid w:val="00514419"/>
    <w:rsid w:val="00520BDD"/>
    <w:rsid w:val="00521A11"/>
    <w:rsid w:val="00522D3B"/>
    <w:rsid w:val="00523D39"/>
    <w:rsid w:val="00525BB7"/>
    <w:rsid w:val="005274C2"/>
    <w:rsid w:val="005303DF"/>
    <w:rsid w:val="00530FE4"/>
    <w:rsid w:val="00532E52"/>
    <w:rsid w:val="005346F0"/>
    <w:rsid w:val="00536CAD"/>
    <w:rsid w:val="00542D5B"/>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35CE"/>
    <w:rsid w:val="00657A97"/>
    <w:rsid w:val="00657B40"/>
    <w:rsid w:val="006633FD"/>
    <w:rsid w:val="00663EEF"/>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6137"/>
    <w:rsid w:val="00756B72"/>
    <w:rsid w:val="007574CD"/>
    <w:rsid w:val="00761BD7"/>
    <w:rsid w:val="007636FD"/>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987"/>
    <w:rsid w:val="008E2B4D"/>
    <w:rsid w:val="008E3EA4"/>
    <w:rsid w:val="008E6018"/>
    <w:rsid w:val="008E6B55"/>
    <w:rsid w:val="008F0252"/>
    <w:rsid w:val="008F1AA2"/>
    <w:rsid w:val="008F23BC"/>
    <w:rsid w:val="008F43EF"/>
    <w:rsid w:val="008F5E24"/>
    <w:rsid w:val="008F7610"/>
    <w:rsid w:val="008F7C95"/>
    <w:rsid w:val="00901F3A"/>
    <w:rsid w:val="009020A9"/>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09AD"/>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03E"/>
    <w:rsid w:val="00C25DDC"/>
    <w:rsid w:val="00C267D5"/>
    <w:rsid w:val="00C33834"/>
    <w:rsid w:val="00C34066"/>
    <w:rsid w:val="00C3467C"/>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69CC"/>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0B3E"/>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460</cp:revision>
  <cp:lastPrinted>2024-02-02T13:10:00Z</cp:lastPrinted>
  <dcterms:created xsi:type="dcterms:W3CDTF">2020-06-23T09:12:00Z</dcterms:created>
  <dcterms:modified xsi:type="dcterms:W3CDTF">2024-02-28T12:50:00Z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