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7C72752C" w:rsidR="00854188" w:rsidRPr="00BE0FFC" w:rsidRDefault="00CE1F68" w:rsidP="0086207E">
      <w:pPr>
        <w:pStyle w:val="Textkrper"/>
        <w:ind w:firstLine="720"/>
        <w:rPr>
          <w:i/>
        </w:rPr>
      </w:pPr>
      <w:r w:rsidRPr="00BE0FFC">
        <w:rPr>
          <w:i/>
          <w:noProof/>
        </w:rPr>
        <mc:AlternateContent>
          <mc:Choice Requires="wps">
            <w:drawing>
              <wp:anchor distT="0" distB="0" distL="114300" distR="114300" simplePos="0" relativeHeight="251676672" behindDoc="0" locked="0" layoutInCell="1" allowOverlap="1" wp14:anchorId="33EF3212" wp14:editId="01A26E73">
                <wp:simplePos x="0" y="0"/>
                <wp:positionH relativeFrom="page">
                  <wp:posOffset>352425</wp:posOffset>
                </wp:positionH>
                <wp:positionV relativeFrom="page">
                  <wp:posOffset>2495550</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4304E51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3E747C">
                              <w:rPr>
                                <w:rFonts w:ascii="DIN Pro" w:hAnsi="DIN Pro"/>
                                <w:sz w:val="20"/>
                                <w:szCs w:val="20"/>
                              </w:rPr>
                              <w:t>06</w:t>
                            </w:r>
                            <w:r w:rsidR="002F3CDF" w:rsidRPr="00092F03">
                              <w:rPr>
                                <w:rFonts w:ascii="DIN Pro" w:hAnsi="DIN Pro"/>
                                <w:sz w:val="20"/>
                                <w:szCs w:val="20"/>
                              </w:rPr>
                              <w:t>.</w:t>
                            </w:r>
                            <w:r w:rsidR="003E747C">
                              <w:rPr>
                                <w:rFonts w:ascii="DIN Pro" w:hAnsi="DIN Pro"/>
                                <w:sz w:val="20"/>
                                <w:szCs w:val="20"/>
                              </w:rPr>
                              <w:t>01</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F3212" id="_x0000_t202" coordsize="21600,21600" o:spt="202" path="m,l,21600r21600,l21600,xe">
                <v:stroke joinstyle="miter"/>
                <v:path gradientshapeok="t" o:connecttype="rect"/>
              </v:shapetype>
              <v:shape id="Text Box 324" o:spid="_x0000_s1026" type="#_x0000_t202" style="position:absolute;left:0;text-align:left;margin-left:27.75pt;margin-top:196.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" filled="f" stroked="f">
                <v:textbox style="mso-fit-shape-to-text:t" inset=",0,,0">
                  <w:txbxContent>
                    <w:p w14:paraId="4B7F21A1" w14:textId="4304E51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3E747C">
                        <w:rPr>
                          <w:rFonts w:ascii="DIN Pro" w:hAnsi="DIN Pro"/>
                          <w:sz w:val="20"/>
                          <w:szCs w:val="20"/>
                        </w:rPr>
                        <w:t>06</w:t>
                      </w:r>
                      <w:r w:rsidR="002F3CDF" w:rsidRPr="00092F03">
                        <w:rPr>
                          <w:rFonts w:ascii="DIN Pro" w:hAnsi="DIN Pro"/>
                          <w:sz w:val="20"/>
                          <w:szCs w:val="20"/>
                        </w:rPr>
                        <w:t>.</w:t>
                      </w:r>
                      <w:r w:rsidR="003E747C">
                        <w:rPr>
                          <w:rFonts w:ascii="DIN Pro" w:hAnsi="DIN Pro"/>
                          <w:sz w:val="20"/>
                          <w:szCs w:val="20"/>
                        </w:rPr>
                        <w:t>01</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1D168821">
                <wp:simplePos x="0" y="0"/>
                <wp:positionH relativeFrom="page">
                  <wp:posOffset>2971800</wp:posOffset>
                </wp:positionH>
                <wp:positionV relativeFrom="page">
                  <wp:posOffset>2466975</wp:posOffset>
                </wp:positionV>
                <wp:extent cx="4105275" cy="69532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68C36ED2" w:rsidR="00050808" w:rsidRPr="005612C3" w:rsidRDefault="002C5DB9"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WRRL</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Merkblatt zur Berücksichtigung der Wasser-rahmenrichtlinie in der Straßenplanung</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27" type="#_x0000_t202" style="position:absolute;left:0;text-align:left;margin-left:234pt;margin-top:194.25pt;width:323.25pt;height:54.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" filled="f" stroked="f">
                <v:textbox inset="0,0,0,0">
                  <w:txbxContent>
                    <w:p w14:paraId="35762754" w14:textId="68C36ED2" w:rsidR="00050808" w:rsidRPr="005612C3" w:rsidRDefault="002C5DB9"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WRRL</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Merkblatt zur Berücksichtigung der Wasser-rahmenrichtlinie in der Straßenplanung</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9C3EAE7">
                <wp:simplePos x="0" y="0"/>
                <wp:positionH relativeFrom="page">
                  <wp:posOffset>342900</wp:posOffset>
                </wp:positionH>
                <wp:positionV relativeFrom="page">
                  <wp:posOffset>3238500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0C95DC04" w:rsidR="00AE48BE" w:rsidRPr="00915D28" w:rsidRDefault="003E747C" w:rsidP="00800B85">
                            <w:pPr>
                              <w:pStyle w:val="berschrift1"/>
                              <w:rPr>
                                <w:rFonts w:ascii="DIN Pro" w:hAnsi="DIN Pro" w:cs="Helvetica"/>
                                <w:sz w:val="24"/>
                                <w:szCs w:val="24"/>
                              </w:rPr>
                            </w:pPr>
                            <w:r>
                              <w:rPr>
                                <w:rFonts w:ascii="DIN Pro" w:hAnsi="DIN Pro" w:cs="Helvetica"/>
                                <w:sz w:val="24"/>
                                <w:szCs w:val="24"/>
                              </w:rPr>
                              <w:t>M WRRL</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0AF08B82" w:rsidR="00F739C5" w:rsidRPr="00715586" w:rsidRDefault="00201BA1"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7</w:t>
                            </w:r>
                            <w:r w:rsidR="00197419">
                              <w:rPr>
                                <w:rStyle w:val="InhaltsverzeichnisNummerZeichen"/>
                                <w:rFonts w:ascii="DIN Pro" w:hAnsi="DIN Pro" w:cs="Helvetica"/>
                                <w:color w:val="auto"/>
                                <w:sz w:val="20"/>
                                <w:szCs w:val="20"/>
                              </w:rPr>
                              <w:t>2</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95216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0A7BC4">
                              <w:rPr>
                                <w:rStyle w:val="InhaltsverzeichnisNummerZeichen"/>
                                <w:rFonts w:ascii="DIN Pro" w:hAnsi="DIN Pro" w:cs="Helvetica"/>
                                <w:color w:val="auto"/>
                                <w:sz w:val="20"/>
                                <w:szCs w:val="20"/>
                              </w:rPr>
                              <w:t>R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w:t>
                            </w:r>
                            <w:r w:rsidR="000A7BC4">
                              <w:rPr>
                                <w:rStyle w:val="InhaltsverzeichnisNummerZeichen"/>
                                <w:rFonts w:ascii="DIN Pro" w:hAnsi="DIN Pro"/>
                                <w:sz w:val="20"/>
                                <w:szCs w:val="20"/>
                              </w:rPr>
                              <w:t>0</w:t>
                            </w:r>
                            <w:r w:rsidR="009C03DF" w:rsidRPr="001D1B15">
                              <w:rPr>
                                <w:rStyle w:val="InhaltsverzeichnisNummerZeichen"/>
                                <w:rFonts w:ascii="DIN Pro" w:hAnsi="DIN Pro"/>
                                <w:sz w:val="20"/>
                                <w:szCs w:val="20"/>
                              </w:rPr>
                              <w:t>,</w:t>
                            </w:r>
                            <w:r w:rsidR="00DF65F5">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FEB3A52"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0A7BC4">
                              <w:rPr>
                                <w:rStyle w:val="InhaltsverzeichnisNummerZeichen"/>
                                <w:rFonts w:ascii="DIN Pro" w:hAnsi="DIN Pro" w:cs="Helvetica"/>
                                <w:color w:val="auto"/>
                                <w:sz w:val="20"/>
                                <w:szCs w:val="20"/>
                              </w:rPr>
                              <w:t>513</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5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TX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" filled="f" stroked="f" strokecolor="#c30">
                <v:textbox>
                  <w:txbxContent>
                    <w:p w14:paraId="0D6C6BB0" w14:textId="0C95DC04" w:rsidR="00AE48BE" w:rsidRPr="00915D28" w:rsidRDefault="003E747C" w:rsidP="00800B85">
                      <w:pPr>
                        <w:pStyle w:val="berschrift1"/>
                        <w:rPr>
                          <w:rFonts w:ascii="DIN Pro" w:hAnsi="DIN Pro" w:cs="Helvetica"/>
                          <w:sz w:val="24"/>
                          <w:szCs w:val="24"/>
                        </w:rPr>
                      </w:pPr>
                      <w:r>
                        <w:rPr>
                          <w:rFonts w:ascii="DIN Pro" w:hAnsi="DIN Pro" w:cs="Helvetica"/>
                          <w:sz w:val="24"/>
                          <w:szCs w:val="24"/>
                        </w:rPr>
                        <w:t>M WRRL</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0AF08B82" w:rsidR="00F739C5" w:rsidRPr="00715586" w:rsidRDefault="00201BA1"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7</w:t>
                      </w:r>
                      <w:r w:rsidR="00197419">
                        <w:rPr>
                          <w:rStyle w:val="InhaltsverzeichnisNummerZeichen"/>
                          <w:rFonts w:ascii="DIN Pro" w:hAnsi="DIN Pro" w:cs="Helvetica"/>
                          <w:color w:val="auto"/>
                          <w:sz w:val="20"/>
                          <w:szCs w:val="20"/>
                        </w:rPr>
                        <w:t>2</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95216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0A7BC4">
                        <w:rPr>
                          <w:rStyle w:val="InhaltsverzeichnisNummerZeichen"/>
                          <w:rFonts w:ascii="DIN Pro" w:hAnsi="DIN Pro" w:cs="Helvetica"/>
                          <w:color w:val="auto"/>
                          <w:sz w:val="20"/>
                          <w:szCs w:val="20"/>
                        </w:rPr>
                        <w:t>R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w:t>
                      </w:r>
                      <w:r w:rsidR="000A7BC4">
                        <w:rPr>
                          <w:rStyle w:val="InhaltsverzeichnisNummerZeichen"/>
                          <w:rFonts w:ascii="DIN Pro" w:hAnsi="DIN Pro"/>
                          <w:sz w:val="20"/>
                          <w:szCs w:val="20"/>
                        </w:rPr>
                        <w:t>0</w:t>
                      </w:r>
                      <w:r w:rsidR="009C03DF" w:rsidRPr="001D1B15">
                        <w:rPr>
                          <w:rStyle w:val="InhaltsverzeichnisNummerZeichen"/>
                          <w:rFonts w:ascii="DIN Pro" w:hAnsi="DIN Pro"/>
                          <w:sz w:val="20"/>
                          <w:szCs w:val="20"/>
                        </w:rPr>
                        <w:t>,</w:t>
                      </w:r>
                      <w:r w:rsidR="00DF65F5">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FEB3A52"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0A7BC4">
                        <w:rPr>
                          <w:rStyle w:val="InhaltsverzeichnisNummerZeichen"/>
                          <w:rFonts w:ascii="DIN Pro" w:hAnsi="DIN Pro" w:cs="Helvetica"/>
                          <w:color w:val="auto"/>
                          <w:sz w:val="20"/>
                          <w:szCs w:val="20"/>
                        </w:rPr>
                        <w:t>513</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C179CAC">
                <wp:simplePos x="0" y="0"/>
                <wp:positionH relativeFrom="page">
                  <wp:posOffset>457200</wp:posOffset>
                </wp:positionH>
                <wp:positionV relativeFrom="page">
                  <wp:posOffset>8305800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54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60E25CF5">
                <wp:simplePos x="0" y="0"/>
                <wp:positionH relativeFrom="page">
                  <wp:posOffset>323850</wp:posOffset>
                </wp:positionH>
                <wp:positionV relativeFrom="page">
                  <wp:posOffset>6076950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30" type="#_x0000_t202" style="position:absolute;left:0;text-align:left;margin-left:25.5pt;margin-top:478.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sB5gEAAKkDAAAOAAAAZHJzL2Uyb0RvYy54bWysU9tu2zAMfR+wfxD0vjj2kn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67150130">
                <wp:simplePos x="0" y="0"/>
                <wp:positionH relativeFrom="page">
                  <wp:posOffset>2971800</wp:posOffset>
                </wp:positionH>
                <wp:positionV relativeFrom="margin">
                  <wp:posOffset>2342515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54C86248" w:rsidR="00D75A16" w:rsidRPr="00BA462D" w:rsidRDefault="00D75A16" w:rsidP="00165A58">
                            <w:pPr>
                              <w:pStyle w:val="StandardWeb"/>
                              <w:rPr>
                                <w:rFonts w:asciiTheme="majorHAnsi" w:hAnsiTheme="majorHAnsi"/>
                                <w:sz w:val="22"/>
                                <w:szCs w:val="22"/>
                              </w:rPr>
                            </w:pPr>
                            <w:r w:rsidRPr="00BA462D">
                              <w:rPr>
                                <w:rFonts w:asciiTheme="majorHAnsi" w:hAnsiTheme="majorHAnsi" w:cs="Arial"/>
                                <w:sz w:val="22"/>
                                <w:szCs w:val="22"/>
                              </w:rPr>
                              <w:t>Die Forschungsgesellschaft für Straßen- und Verkehrswesen</w:t>
                            </w:r>
                            <w:r w:rsidR="008C3731" w:rsidRPr="00BA462D">
                              <w:rPr>
                                <w:rFonts w:asciiTheme="majorHAnsi" w:hAnsiTheme="majorHAnsi" w:cs="Arial"/>
                                <w:sz w:val="22"/>
                                <w:szCs w:val="22"/>
                              </w:rPr>
                              <w:t xml:space="preserve"> </w:t>
                            </w:r>
                            <w:r w:rsidR="0093546B" w:rsidRPr="00BA462D">
                              <w:rPr>
                                <w:rFonts w:asciiTheme="majorHAnsi" w:hAnsiTheme="majorHAnsi" w:cs="Arial"/>
                                <w:sz w:val="22"/>
                                <w:szCs w:val="22"/>
                              </w:rPr>
                              <w:t xml:space="preserve">(FGSV) </w:t>
                            </w:r>
                            <w:r w:rsidRPr="00BA462D">
                              <w:rPr>
                                <w:rFonts w:asciiTheme="majorHAnsi" w:hAnsiTheme="majorHAnsi" w:cs="Arial"/>
                                <w:sz w:val="22"/>
                                <w:szCs w:val="22"/>
                              </w:rPr>
                              <w:t>hat d</w:t>
                            </w:r>
                            <w:r w:rsidR="00203545">
                              <w:rPr>
                                <w:rFonts w:asciiTheme="majorHAnsi" w:hAnsiTheme="majorHAnsi" w:cs="Arial"/>
                                <w:sz w:val="22"/>
                                <w:szCs w:val="22"/>
                              </w:rPr>
                              <w:t>as</w:t>
                            </w:r>
                            <w:r w:rsidRPr="00BA462D">
                              <w:rPr>
                                <w:rFonts w:asciiTheme="majorHAnsi" w:hAnsiTheme="majorHAnsi" w:cs="Arial"/>
                                <w:sz w:val="22"/>
                                <w:szCs w:val="22"/>
                              </w:rPr>
                              <w:t xml:space="preserve"> „</w:t>
                            </w:r>
                            <w:r w:rsidR="00203545">
                              <w:rPr>
                                <w:rFonts w:asciiTheme="majorHAnsi" w:hAnsiTheme="majorHAnsi"/>
                                <w:sz w:val="22"/>
                                <w:szCs w:val="22"/>
                              </w:rPr>
                              <w:t>Merkblatt zur Berücksichtigung der Wasser</w:t>
                            </w:r>
                            <w:r w:rsidR="00FC67FC">
                              <w:rPr>
                                <w:rFonts w:asciiTheme="majorHAnsi" w:hAnsiTheme="majorHAnsi"/>
                                <w:sz w:val="22"/>
                                <w:szCs w:val="22"/>
                              </w:rPr>
                              <w:t>-</w:t>
                            </w:r>
                            <w:r w:rsidR="00FC67FC">
                              <w:rPr>
                                <w:rFonts w:asciiTheme="majorHAnsi" w:hAnsiTheme="majorHAnsi"/>
                                <w:sz w:val="22"/>
                                <w:szCs w:val="22"/>
                              </w:rPr>
                              <w:br/>
                            </w:r>
                            <w:proofErr w:type="spellStart"/>
                            <w:r w:rsidR="00203545">
                              <w:rPr>
                                <w:rFonts w:asciiTheme="majorHAnsi" w:hAnsiTheme="majorHAnsi"/>
                                <w:sz w:val="22"/>
                                <w:szCs w:val="22"/>
                              </w:rPr>
                              <w:t>rahmenrichtlinie</w:t>
                            </w:r>
                            <w:proofErr w:type="spellEnd"/>
                            <w:r w:rsidR="00203545">
                              <w:rPr>
                                <w:rFonts w:asciiTheme="majorHAnsi" w:hAnsiTheme="majorHAnsi"/>
                                <w:sz w:val="22"/>
                                <w:szCs w:val="22"/>
                              </w:rPr>
                              <w:t xml:space="preserve"> in der Straßenplanung</w:t>
                            </w:r>
                            <w:r w:rsidR="00E46E63" w:rsidRPr="00BA462D">
                              <w:rPr>
                                <w:rFonts w:asciiTheme="majorHAnsi" w:hAnsiTheme="majorHAnsi"/>
                                <w:sz w:val="22"/>
                                <w:szCs w:val="22"/>
                              </w:rPr>
                              <w:t xml:space="preserve"> </w:t>
                            </w:r>
                            <w:r w:rsidRPr="00BA462D">
                              <w:rPr>
                                <w:rFonts w:asciiTheme="majorHAnsi" w:hAnsiTheme="majorHAnsi"/>
                                <w:sz w:val="22"/>
                                <w:szCs w:val="22"/>
                              </w:rPr>
                              <w:t>(</w:t>
                            </w:r>
                            <w:r w:rsidR="00203545">
                              <w:rPr>
                                <w:rFonts w:asciiTheme="majorHAnsi" w:hAnsiTheme="majorHAnsi"/>
                                <w:sz w:val="22"/>
                                <w:szCs w:val="22"/>
                              </w:rPr>
                              <w:t>M WRRL</w:t>
                            </w:r>
                            <w:r w:rsidRPr="00BA462D">
                              <w:rPr>
                                <w:rFonts w:asciiTheme="majorHAnsi" w:hAnsiTheme="majorHAnsi"/>
                                <w:sz w:val="22"/>
                                <w:szCs w:val="22"/>
                              </w:rPr>
                              <w:t>)“</w:t>
                            </w:r>
                            <w:r w:rsidR="008C3731" w:rsidRPr="00BA462D">
                              <w:rPr>
                                <w:rFonts w:asciiTheme="majorHAnsi" w:hAnsiTheme="majorHAnsi"/>
                                <w:sz w:val="22"/>
                                <w:szCs w:val="22"/>
                              </w:rPr>
                              <w:t xml:space="preserve"> </w:t>
                            </w:r>
                            <w:r w:rsidRPr="00BA462D">
                              <w:rPr>
                                <w:rFonts w:asciiTheme="majorHAnsi" w:hAnsiTheme="majorHAnsi" w:cs="Arial"/>
                                <w:sz w:val="22"/>
                                <w:szCs w:val="22"/>
                              </w:rPr>
                              <w:t xml:space="preserve">(FGSV </w:t>
                            </w:r>
                            <w:r w:rsidR="00203545">
                              <w:rPr>
                                <w:rFonts w:asciiTheme="majorHAnsi" w:hAnsiTheme="majorHAnsi" w:cs="Arial"/>
                                <w:sz w:val="22"/>
                                <w:szCs w:val="22"/>
                              </w:rPr>
                              <w:t>513</w:t>
                            </w:r>
                            <w:r w:rsidRPr="00BA462D">
                              <w:rPr>
                                <w:rFonts w:asciiTheme="majorHAnsi" w:hAnsiTheme="majorHAnsi" w:cs="Arial"/>
                                <w:sz w:val="22"/>
                                <w:szCs w:val="22"/>
                              </w:rPr>
                              <w:t>)</w:t>
                            </w:r>
                            <w:r w:rsidR="00E46E63" w:rsidRPr="00BA462D">
                              <w:rPr>
                                <w:rFonts w:asciiTheme="majorHAnsi" w:hAnsiTheme="majorHAnsi" w:cs="Arial"/>
                                <w:sz w:val="22"/>
                                <w:szCs w:val="22"/>
                              </w:rPr>
                              <w:t xml:space="preserve"> </w:t>
                            </w:r>
                            <w:r w:rsidRPr="00BA462D">
                              <w:rPr>
                                <w:rFonts w:asciiTheme="majorHAnsi" w:hAnsiTheme="majorHAnsi" w:cs="Arial"/>
                                <w:sz w:val="22"/>
                                <w:szCs w:val="22"/>
                              </w:rPr>
                              <w:t xml:space="preserve">mit einer Ausgabe 2021 herausgegeben. </w:t>
                            </w:r>
                            <w:r w:rsidR="0093546B" w:rsidRPr="00BA462D">
                              <w:rPr>
                                <w:rFonts w:asciiTheme="majorHAnsi" w:hAnsiTheme="majorHAnsi" w:cs="Arial"/>
                                <w:sz w:val="22"/>
                                <w:szCs w:val="22"/>
                              </w:rPr>
                              <w:t xml:space="preserve">Der </w:t>
                            </w:r>
                            <w:r w:rsidRPr="00BA462D">
                              <w:rPr>
                                <w:rFonts w:asciiTheme="majorHAnsi" w:hAnsiTheme="majorHAnsi" w:cs="Arial"/>
                                <w:sz w:val="22"/>
                                <w:szCs w:val="22"/>
                              </w:rPr>
                              <w:t xml:space="preserve">Bezugspreis ist </w:t>
                            </w:r>
                            <w:r w:rsidR="00DC4016">
                              <w:rPr>
                                <w:rFonts w:asciiTheme="majorHAnsi" w:hAnsiTheme="majorHAnsi" w:cs="Arial"/>
                                <w:sz w:val="22"/>
                                <w:szCs w:val="22"/>
                              </w:rPr>
                              <w:br/>
                            </w:r>
                            <w:r w:rsidR="00E46E63" w:rsidRPr="00BA462D">
                              <w:rPr>
                                <w:rFonts w:asciiTheme="majorHAnsi" w:hAnsiTheme="majorHAnsi" w:cs="Arial"/>
                                <w:sz w:val="22"/>
                                <w:szCs w:val="22"/>
                              </w:rPr>
                              <w:t>5</w:t>
                            </w:r>
                            <w:r w:rsidR="00FC67FC">
                              <w:rPr>
                                <w:rFonts w:asciiTheme="majorHAnsi" w:hAnsiTheme="majorHAnsi" w:cs="Arial"/>
                                <w:sz w:val="22"/>
                                <w:szCs w:val="22"/>
                              </w:rPr>
                              <w:t>0</w:t>
                            </w:r>
                            <w:r w:rsidRPr="00BA462D">
                              <w:rPr>
                                <w:rFonts w:asciiTheme="majorHAnsi" w:hAnsiTheme="majorHAnsi" w:cs="Arial"/>
                                <w:sz w:val="22"/>
                                <w:szCs w:val="22"/>
                              </w:rPr>
                              <w:t>,</w:t>
                            </w:r>
                            <w:r w:rsidR="00C663D3" w:rsidRPr="00BA462D">
                              <w:rPr>
                                <w:rFonts w:asciiTheme="majorHAnsi" w:hAnsiTheme="majorHAnsi" w:cs="Arial"/>
                                <w:sz w:val="22"/>
                                <w:szCs w:val="22"/>
                              </w:rPr>
                              <w:t>5</w:t>
                            </w:r>
                            <w:r w:rsidRPr="00BA462D">
                              <w:rPr>
                                <w:rFonts w:asciiTheme="majorHAnsi" w:hAnsiTheme="majorHAnsi" w:cs="Arial"/>
                                <w:sz w:val="22"/>
                                <w:szCs w:val="22"/>
                              </w:rPr>
                              <w:t>0 EUR (FGSV-Mitglieder erhalten einen Rabatt von 30 %).</w:t>
                            </w:r>
                          </w:p>
                          <w:p w14:paraId="047F1342" w14:textId="423AE7BB" w:rsidR="00CE1F68" w:rsidRPr="00CE1F68" w:rsidRDefault="00CE1F68" w:rsidP="00CE1F68">
                            <w:pPr>
                              <w:pStyle w:val="StandardWeb"/>
                              <w:rPr>
                                <w:rFonts w:asciiTheme="majorHAnsi" w:hAnsiTheme="majorHAnsi"/>
                                <w:sz w:val="22"/>
                                <w:szCs w:val="22"/>
                              </w:rPr>
                            </w:pPr>
                            <w:r w:rsidRPr="00CE1F68">
                              <w:rPr>
                                <w:rFonts w:asciiTheme="majorHAnsi" w:hAnsiTheme="majorHAnsi"/>
                                <w:sz w:val="22"/>
                                <w:szCs w:val="22"/>
                              </w:rPr>
                              <w:t xml:space="preserve">Von Straßenbauvorhaben sind regelmäßig Gewässer betroffen. </w:t>
                            </w:r>
                            <w:r w:rsidR="005D68FA">
                              <w:rPr>
                                <w:rFonts w:asciiTheme="majorHAnsi" w:hAnsiTheme="majorHAnsi"/>
                                <w:sz w:val="22"/>
                                <w:szCs w:val="22"/>
                              </w:rPr>
                              <w:br/>
                            </w:r>
                            <w:r w:rsidRPr="00CE1F68">
                              <w:rPr>
                                <w:rFonts w:asciiTheme="majorHAnsi" w:hAnsiTheme="majorHAnsi"/>
                                <w:sz w:val="22"/>
                                <w:szCs w:val="22"/>
                              </w:rPr>
                              <w:t xml:space="preserve">Gewässerbenutzungen bedürfen der Erlaubnis bzw. Bewilligung der Wasserbehörde. Im Planfeststellungsbeschluss wird über </w:t>
                            </w:r>
                            <w:r w:rsidR="00EE24A0">
                              <w:rPr>
                                <w:rFonts w:asciiTheme="majorHAnsi" w:hAnsiTheme="majorHAnsi"/>
                                <w:sz w:val="22"/>
                                <w:szCs w:val="22"/>
                              </w:rPr>
                              <w:br/>
                            </w:r>
                            <w:r w:rsidRPr="00CE1F68">
                              <w:rPr>
                                <w:rFonts w:asciiTheme="majorHAnsi" w:hAnsiTheme="majorHAnsi"/>
                                <w:sz w:val="22"/>
                                <w:szCs w:val="22"/>
                              </w:rPr>
                              <w:t>wasserrechtliche Erlaubnisse und Bewilligungen gesondert entschieden.</w:t>
                            </w:r>
                          </w:p>
                          <w:p w14:paraId="1A1284E6" w14:textId="24858510" w:rsidR="00CE1F68" w:rsidRPr="00CE1F68" w:rsidRDefault="00CE1F68" w:rsidP="00CE1F68">
                            <w:pPr>
                              <w:pStyle w:val="StandardWeb"/>
                              <w:rPr>
                                <w:rFonts w:asciiTheme="majorHAnsi" w:hAnsiTheme="majorHAnsi"/>
                                <w:sz w:val="22"/>
                                <w:szCs w:val="22"/>
                              </w:rPr>
                            </w:pPr>
                            <w:r w:rsidRPr="00CE1F68">
                              <w:rPr>
                                <w:rFonts w:asciiTheme="majorHAnsi" w:hAnsiTheme="majorHAnsi"/>
                                <w:sz w:val="22"/>
                                <w:szCs w:val="22"/>
                              </w:rPr>
                              <w:t xml:space="preserve">Bei dieser Entscheidung spielt eine wesentliche Rolle, ob die </w:t>
                            </w:r>
                            <w:r w:rsidR="000E7557">
                              <w:rPr>
                                <w:rFonts w:asciiTheme="majorHAnsi" w:hAnsiTheme="majorHAnsi"/>
                                <w:sz w:val="22"/>
                                <w:szCs w:val="22"/>
                              </w:rPr>
                              <w:br/>
                            </w:r>
                            <w:r w:rsidRPr="00CE1F68">
                              <w:rPr>
                                <w:rFonts w:asciiTheme="majorHAnsi" w:hAnsiTheme="majorHAnsi"/>
                                <w:sz w:val="22"/>
                                <w:szCs w:val="22"/>
                              </w:rPr>
                              <w:t>Gewässerbenutzung mit den Regelungen des Wasserhaushalts</w:t>
                            </w:r>
                            <w:r w:rsidR="000E7557">
                              <w:rPr>
                                <w:rFonts w:asciiTheme="majorHAnsi" w:hAnsiTheme="majorHAnsi"/>
                                <w:sz w:val="22"/>
                                <w:szCs w:val="22"/>
                              </w:rPr>
                              <w:t>-</w:t>
                            </w:r>
                            <w:r w:rsidR="000E7557">
                              <w:rPr>
                                <w:rFonts w:asciiTheme="majorHAnsi" w:hAnsiTheme="majorHAnsi"/>
                                <w:sz w:val="22"/>
                                <w:szCs w:val="22"/>
                              </w:rPr>
                              <w:br/>
                            </w:r>
                            <w:proofErr w:type="spellStart"/>
                            <w:r w:rsidRPr="00CE1F68">
                              <w:rPr>
                                <w:rFonts w:asciiTheme="majorHAnsi" w:hAnsiTheme="majorHAnsi"/>
                                <w:sz w:val="22"/>
                                <w:szCs w:val="22"/>
                              </w:rPr>
                              <w:t>gesetzes</w:t>
                            </w:r>
                            <w:proofErr w:type="spellEnd"/>
                            <w:r w:rsidRPr="00CE1F68">
                              <w:rPr>
                                <w:rFonts w:asciiTheme="majorHAnsi" w:hAnsiTheme="majorHAnsi"/>
                                <w:sz w:val="22"/>
                                <w:szCs w:val="22"/>
                              </w:rPr>
                              <w:t xml:space="preserve"> (WHG) insgesamt in Einklang steht. Bezogen auf die </w:t>
                            </w:r>
                            <w:r w:rsidR="000E7557">
                              <w:rPr>
                                <w:rFonts w:asciiTheme="majorHAnsi" w:hAnsiTheme="majorHAnsi"/>
                                <w:sz w:val="22"/>
                                <w:szCs w:val="22"/>
                              </w:rPr>
                              <w:br/>
                            </w:r>
                            <w:r w:rsidRPr="00CE1F68">
                              <w:rPr>
                                <w:rFonts w:asciiTheme="majorHAnsi" w:hAnsiTheme="majorHAnsi"/>
                                <w:sz w:val="22"/>
                                <w:szCs w:val="22"/>
                              </w:rPr>
                              <w:t xml:space="preserve">Wasserrahmenrichtlinie (WRRL) ist dies dann der Fall, wenn eine Verschlechterung des Wasserkörperzustands vermieden wird („Verschlechterungsverbot“) und die Erreichung eines guten </w:t>
                            </w:r>
                            <w:r w:rsidR="000E7557">
                              <w:rPr>
                                <w:rFonts w:asciiTheme="majorHAnsi" w:hAnsiTheme="majorHAnsi"/>
                                <w:sz w:val="22"/>
                                <w:szCs w:val="22"/>
                              </w:rPr>
                              <w:br/>
                            </w:r>
                            <w:r w:rsidRPr="00CE1F68">
                              <w:rPr>
                                <w:rFonts w:asciiTheme="majorHAnsi" w:hAnsiTheme="majorHAnsi"/>
                                <w:sz w:val="22"/>
                                <w:szCs w:val="22"/>
                              </w:rPr>
                              <w:t>Zustands weiterhin möglich ist („</w:t>
                            </w:r>
                            <w:proofErr w:type="spellStart"/>
                            <w:r w:rsidRPr="00CE1F68">
                              <w:rPr>
                                <w:rFonts w:asciiTheme="majorHAnsi" w:hAnsiTheme="majorHAnsi"/>
                                <w:sz w:val="22"/>
                                <w:szCs w:val="22"/>
                              </w:rPr>
                              <w:t>Verbesserungs</w:t>
                            </w:r>
                            <w:proofErr w:type="spellEnd"/>
                            <w:r w:rsidRPr="00CE1F68">
                              <w:rPr>
                                <w:rFonts w:asciiTheme="majorHAnsi" w:hAnsiTheme="majorHAnsi"/>
                                <w:sz w:val="22"/>
                                <w:szCs w:val="22"/>
                              </w:rPr>
                              <w:t>“- bzw. „Ziel</w:t>
                            </w:r>
                            <w:r w:rsidR="005B338A">
                              <w:rPr>
                                <w:rFonts w:asciiTheme="majorHAnsi" w:hAnsiTheme="majorHAnsi"/>
                                <w:sz w:val="22"/>
                                <w:szCs w:val="22"/>
                              </w:rPr>
                              <w:t>-</w:t>
                            </w:r>
                            <w:r w:rsidR="005B338A">
                              <w:rPr>
                                <w:rFonts w:asciiTheme="majorHAnsi" w:hAnsiTheme="majorHAnsi"/>
                                <w:sz w:val="22"/>
                                <w:szCs w:val="22"/>
                              </w:rPr>
                              <w:br/>
                            </w:r>
                            <w:r w:rsidRPr="00CE1F68">
                              <w:rPr>
                                <w:rFonts w:asciiTheme="majorHAnsi" w:hAnsiTheme="majorHAnsi"/>
                                <w:sz w:val="22"/>
                                <w:szCs w:val="22"/>
                              </w:rPr>
                              <w:t xml:space="preserve">erreichungsgebot“). Das M WRRL gilt daher für die Prüfung von </w:t>
                            </w:r>
                            <w:r w:rsidR="000E7557">
                              <w:rPr>
                                <w:rFonts w:asciiTheme="majorHAnsi" w:hAnsiTheme="majorHAnsi"/>
                                <w:sz w:val="22"/>
                                <w:szCs w:val="22"/>
                              </w:rPr>
                              <w:br/>
                            </w:r>
                            <w:r w:rsidRPr="00CE1F68">
                              <w:rPr>
                                <w:rFonts w:asciiTheme="majorHAnsi" w:hAnsiTheme="majorHAnsi"/>
                                <w:sz w:val="22"/>
                                <w:szCs w:val="22"/>
                              </w:rPr>
                              <w:t xml:space="preserve">Straßenbauvorhaben (Neu- und Ausbau) auf ihre Vereinbarkeit </w:t>
                            </w:r>
                            <w:r w:rsidR="000E7557">
                              <w:rPr>
                                <w:rFonts w:asciiTheme="majorHAnsi" w:hAnsiTheme="majorHAnsi"/>
                                <w:sz w:val="22"/>
                                <w:szCs w:val="22"/>
                              </w:rPr>
                              <w:br/>
                            </w:r>
                            <w:r w:rsidRPr="00CE1F68">
                              <w:rPr>
                                <w:rFonts w:asciiTheme="majorHAnsi" w:hAnsiTheme="majorHAnsi"/>
                                <w:sz w:val="22"/>
                                <w:szCs w:val="22"/>
                              </w:rPr>
                              <w:t>mit der Wasserrahmenrichtlinie.</w:t>
                            </w:r>
                          </w:p>
                          <w:p w14:paraId="53812EB1" w14:textId="3F4C4D7B" w:rsidR="00CE1F68" w:rsidRPr="00CE1F68" w:rsidRDefault="00CE1F68" w:rsidP="00CE1F68">
                            <w:pPr>
                              <w:pStyle w:val="StandardWeb"/>
                              <w:rPr>
                                <w:rFonts w:asciiTheme="majorHAnsi" w:hAnsiTheme="majorHAnsi"/>
                                <w:sz w:val="22"/>
                                <w:szCs w:val="22"/>
                              </w:rPr>
                            </w:pPr>
                            <w:r w:rsidRPr="00CE1F68">
                              <w:rPr>
                                <w:rFonts w:asciiTheme="majorHAnsi" w:hAnsiTheme="majorHAnsi"/>
                                <w:sz w:val="22"/>
                                <w:szCs w:val="22"/>
                              </w:rPr>
                              <w:t xml:space="preserve">Das M WRRL gibt Empfehlungen und Hinweise für die Prüfung der Gewässerverträglichkeit nach WRRL. Im Fachbeitrag WRRL soll dargelegt werden, ob das Vorhaben dazu führen kann, den Zustand eines Wasserkörpers zu verschlechtern oder zu verhindern, </w:t>
                            </w:r>
                            <w:r w:rsidR="00A60E05">
                              <w:rPr>
                                <w:rFonts w:asciiTheme="majorHAnsi" w:hAnsiTheme="majorHAnsi"/>
                                <w:sz w:val="22"/>
                                <w:szCs w:val="22"/>
                              </w:rPr>
                              <w:br/>
                            </w:r>
                            <w:r w:rsidRPr="00CE1F68">
                              <w:rPr>
                                <w:rFonts w:asciiTheme="majorHAnsi" w:hAnsiTheme="majorHAnsi"/>
                                <w:sz w:val="22"/>
                                <w:szCs w:val="22"/>
                              </w:rPr>
                              <w:t xml:space="preserve">dass dieser zukünftig einen guten Zustand erreichen kann </w:t>
                            </w:r>
                            <w:r w:rsidR="00A60E05">
                              <w:rPr>
                                <w:rFonts w:asciiTheme="majorHAnsi" w:hAnsiTheme="majorHAnsi"/>
                                <w:sz w:val="22"/>
                                <w:szCs w:val="22"/>
                              </w:rPr>
                              <w:br/>
                            </w:r>
                            <w:r w:rsidRPr="00CE1F68">
                              <w:rPr>
                                <w:rFonts w:asciiTheme="majorHAnsi" w:hAnsiTheme="majorHAnsi"/>
                                <w:sz w:val="22"/>
                                <w:szCs w:val="22"/>
                              </w:rPr>
                              <w:t xml:space="preserve">(§§ 27, 47 WHG). Rechtliche und fachliche Grundlagen werden </w:t>
                            </w:r>
                            <w:r w:rsidR="00A60E05">
                              <w:rPr>
                                <w:rFonts w:asciiTheme="majorHAnsi" w:hAnsiTheme="majorHAnsi"/>
                                <w:sz w:val="22"/>
                                <w:szCs w:val="22"/>
                              </w:rPr>
                              <w:br/>
                            </w:r>
                            <w:r w:rsidRPr="00CE1F68">
                              <w:rPr>
                                <w:rFonts w:asciiTheme="majorHAnsi" w:hAnsiTheme="majorHAnsi"/>
                                <w:sz w:val="22"/>
                                <w:szCs w:val="22"/>
                              </w:rPr>
                              <w:t>vermittelt und die Bewertung der Auswirkungen von Straßenbaumaßnahmen sowie die Prüfung von Ausnahmen von den Bewirtschaftungszielen vermittelt. Zahlreiche Anlagen ergänzen das Merkblatt und die Prüfung auf die Vereinbarkeit mit der Wasserrahmenrichtlinie.</w:t>
                            </w:r>
                          </w:p>
                          <w:p w14:paraId="1DE90C8D" w14:textId="3021E3CA" w:rsidR="00CE1F68" w:rsidRPr="00CE1F68" w:rsidRDefault="00CE1F68" w:rsidP="00CE1F68">
                            <w:pPr>
                              <w:pStyle w:val="StandardWeb"/>
                              <w:rPr>
                                <w:rFonts w:asciiTheme="majorHAnsi" w:hAnsiTheme="majorHAnsi"/>
                                <w:sz w:val="22"/>
                                <w:szCs w:val="22"/>
                              </w:rPr>
                            </w:pPr>
                            <w:r w:rsidRPr="00CE1F68">
                              <w:rPr>
                                <w:rFonts w:asciiTheme="majorHAnsi" w:hAnsiTheme="majorHAnsi"/>
                                <w:sz w:val="22"/>
                                <w:szCs w:val="22"/>
                              </w:rPr>
                              <w:t>Das Merkblatt richtet sich an die Vorhabenträger und Straßenbauverwaltungen des Bundes und der Länder, Planungsbüros sowie die zuständigen Wasser- und Planfeststellungsbehörden. Sinn</w:t>
                            </w:r>
                            <w:r w:rsidR="000E7557">
                              <w:rPr>
                                <w:rFonts w:asciiTheme="majorHAnsi" w:hAnsiTheme="majorHAnsi"/>
                                <w:sz w:val="22"/>
                                <w:szCs w:val="22"/>
                              </w:rPr>
                              <w:t>-</w:t>
                            </w:r>
                            <w:r w:rsidR="000E7557">
                              <w:rPr>
                                <w:rFonts w:asciiTheme="majorHAnsi" w:hAnsiTheme="majorHAnsi"/>
                                <w:sz w:val="22"/>
                                <w:szCs w:val="22"/>
                              </w:rPr>
                              <w:br/>
                            </w:r>
                            <w:r w:rsidRPr="00CE1F68">
                              <w:rPr>
                                <w:rFonts w:asciiTheme="majorHAnsi" w:hAnsiTheme="majorHAnsi"/>
                                <w:sz w:val="22"/>
                                <w:szCs w:val="22"/>
                              </w:rPr>
                              <w:t>gemäß können Inhalte des Merkblattes auch für andere Vorhabenträger nutzbar sein.</w:t>
                            </w:r>
                          </w:p>
                          <w:p w14:paraId="6D47BDC9" w14:textId="00CC8B06" w:rsidR="00365687" w:rsidRPr="00BA462D"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31" type="#_x0000_t202" style="position:absolute;left:0;text-align:left;margin-left:234pt;margin-top:184.4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l44A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" filled="f" stroked="f">
                <v:textbox inset="0,0,,0">
                  <w:txbxContent>
                    <w:p w14:paraId="75C6FC1E" w14:textId="54C86248" w:rsidR="00D75A16" w:rsidRPr="00BA462D" w:rsidRDefault="00D75A16" w:rsidP="00165A58">
                      <w:pPr>
                        <w:pStyle w:val="StandardWeb"/>
                        <w:rPr>
                          <w:rFonts w:asciiTheme="majorHAnsi" w:hAnsiTheme="majorHAnsi"/>
                          <w:sz w:val="22"/>
                          <w:szCs w:val="22"/>
                        </w:rPr>
                      </w:pPr>
                      <w:r w:rsidRPr="00BA462D">
                        <w:rPr>
                          <w:rFonts w:asciiTheme="majorHAnsi" w:hAnsiTheme="majorHAnsi" w:cs="Arial"/>
                          <w:sz w:val="22"/>
                          <w:szCs w:val="22"/>
                        </w:rPr>
                        <w:t>Die Forschungsgesellschaft für Straßen- und Verkehrswesen</w:t>
                      </w:r>
                      <w:r w:rsidR="008C3731" w:rsidRPr="00BA462D">
                        <w:rPr>
                          <w:rFonts w:asciiTheme="majorHAnsi" w:hAnsiTheme="majorHAnsi" w:cs="Arial"/>
                          <w:sz w:val="22"/>
                          <w:szCs w:val="22"/>
                        </w:rPr>
                        <w:t xml:space="preserve"> </w:t>
                      </w:r>
                      <w:r w:rsidR="0093546B" w:rsidRPr="00BA462D">
                        <w:rPr>
                          <w:rFonts w:asciiTheme="majorHAnsi" w:hAnsiTheme="majorHAnsi" w:cs="Arial"/>
                          <w:sz w:val="22"/>
                          <w:szCs w:val="22"/>
                        </w:rPr>
                        <w:t xml:space="preserve">(FGSV) </w:t>
                      </w:r>
                      <w:r w:rsidRPr="00BA462D">
                        <w:rPr>
                          <w:rFonts w:asciiTheme="majorHAnsi" w:hAnsiTheme="majorHAnsi" w:cs="Arial"/>
                          <w:sz w:val="22"/>
                          <w:szCs w:val="22"/>
                        </w:rPr>
                        <w:t>hat d</w:t>
                      </w:r>
                      <w:r w:rsidR="00203545">
                        <w:rPr>
                          <w:rFonts w:asciiTheme="majorHAnsi" w:hAnsiTheme="majorHAnsi" w:cs="Arial"/>
                          <w:sz w:val="22"/>
                          <w:szCs w:val="22"/>
                        </w:rPr>
                        <w:t>as</w:t>
                      </w:r>
                      <w:r w:rsidRPr="00BA462D">
                        <w:rPr>
                          <w:rFonts w:asciiTheme="majorHAnsi" w:hAnsiTheme="majorHAnsi" w:cs="Arial"/>
                          <w:sz w:val="22"/>
                          <w:szCs w:val="22"/>
                        </w:rPr>
                        <w:t xml:space="preserve"> „</w:t>
                      </w:r>
                      <w:r w:rsidR="00203545">
                        <w:rPr>
                          <w:rFonts w:asciiTheme="majorHAnsi" w:hAnsiTheme="majorHAnsi"/>
                          <w:sz w:val="22"/>
                          <w:szCs w:val="22"/>
                        </w:rPr>
                        <w:t>Merkblatt zur Berücksichtigung der Wasser</w:t>
                      </w:r>
                      <w:r w:rsidR="00FC67FC">
                        <w:rPr>
                          <w:rFonts w:asciiTheme="majorHAnsi" w:hAnsiTheme="majorHAnsi"/>
                          <w:sz w:val="22"/>
                          <w:szCs w:val="22"/>
                        </w:rPr>
                        <w:t>-</w:t>
                      </w:r>
                      <w:r w:rsidR="00FC67FC">
                        <w:rPr>
                          <w:rFonts w:asciiTheme="majorHAnsi" w:hAnsiTheme="majorHAnsi"/>
                          <w:sz w:val="22"/>
                          <w:szCs w:val="22"/>
                        </w:rPr>
                        <w:br/>
                      </w:r>
                      <w:proofErr w:type="spellStart"/>
                      <w:r w:rsidR="00203545">
                        <w:rPr>
                          <w:rFonts w:asciiTheme="majorHAnsi" w:hAnsiTheme="majorHAnsi"/>
                          <w:sz w:val="22"/>
                          <w:szCs w:val="22"/>
                        </w:rPr>
                        <w:t>rahmenrichtlinie</w:t>
                      </w:r>
                      <w:proofErr w:type="spellEnd"/>
                      <w:r w:rsidR="00203545">
                        <w:rPr>
                          <w:rFonts w:asciiTheme="majorHAnsi" w:hAnsiTheme="majorHAnsi"/>
                          <w:sz w:val="22"/>
                          <w:szCs w:val="22"/>
                        </w:rPr>
                        <w:t xml:space="preserve"> in der Straßenplanung</w:t>
                      </w:r>
                      <w:r w:rsidR="00E46E63" w:rsidRPr="00BA462D">
                        <w:rPr>
                          <w:rFonts w:asciiTheme="majorHAnsi" w:hAnsiTheme="majorHAnsi"/>
                          <w:sz w:val="22"/>
                          <w:szCs w:val="22"/>
                        </w:rPr>
                        <w:t xml:space="preserve"> </w:t>
                      </w:r>
                      <w:r w:rsidRPr="00BA462D">
                        <w:rPr>
                          <w:rFonts w:asciiTheme="majorHAnsi" w:hAnsiTheme="majorHAnsi"/>
                          <w:sz w:val="22"/>
                          <w:szCs w:val="22"/>
                        </w:rPr>
                        <w:t>(</w:t>
                      </w:r>
                      <w:r w:rsidR="00203545">
                        <w:rPr>
                          <w:rFonts w:asciiTheme="majorHAnsi" w:hAnsiTheme="majorHAnsi"/>
                          <w:sz w:val="22"/>
                          <w:szCs w:val="22"/>
                        </w:rPr>
                        <w:t>M WRRL</w:t>
                      </w:r>
                      <w:r w:rsidRPr="00BA462D">
                        <w:rPr>
                          <w:rFonts w:asciiTheme="majorHAnsi" w:hAnsiTheme="majorHAnsi"/>
                          <w:sz w:val="22"/>
                          <w:szCs w:val="22"/>
                        </w:rPr>
                        <w:t>)“</w:t>
                      </w:r>
                      <w:r w:rsidR="008C3731" w:rsidRPr="00BA462D">
                        <w:rPr>
                          <w:rFonts w:asciiTheme="majorHAnsi" w:hAnsiTheme="majorHAnsi"/>
                          <w:sz w:val="22"/>
                          <w:szCs w:val="22"/>
                        </w:rPr>
                        <w:t xml:space="preserve"> </w:t>
                      </w:r>
                      <w:r w:rsidRPr="00BA462D">
                        <w:rPr>
                          <w:rFonts w:asciiTheme="majorHAnsi" w:hAnsiTheme="majorHAnsi" w:cs="Arial"/>
                          <w:sz w:val="22"/>
                          <w:szCs w:val="22"/>
                        </w:rPr>
                        <w:t xml:space="preserve">(FGSV </w:t>
                      </w:r>
                      <w:r w:rsidR="00203545">
                        <w:rPr>
                          <w:rFonts w:asciiTheme="majorHAnsi" w:hAnsiTheme="majorHAnsi" w:cs="Arial"/>
                          <w:sz w:val="22"/>
                          <w:szCs w:val="22"/>
                        </w:rPr>
                        <w:t>513</w:t>
                      </w:r>
                      <w:r w:rsidRPr="00BA462D">
                        <w:rPr>
                          <w:rFonts w:asciiTheme="majorHAnsi" w:hAnsiTheme="majorHAnsi" w:cs="Arial"/>
                          <w:sz w:val="22"/>
                          <w:szCs w:val="22"/>
                        </w:rPr>
                        <w:t>)</w:t>
                      </w:r>
                      <w:r w:rsidR="00E46E63" w:rsidRPr="00BA462D">
                        <w:rPr>
                          <w:rFonts w:asciiTheme="majorHAnsi" w:hAnsiTheme="majorHAnsi" w:cs="Arial"/>
                          <w:sz w:val="22"/>
                          <w:szCs w:val="22"/>
                        </w:rPr>
                        <w:t xml:space="preserve"> </w:t>
                      </w:r>
                      <w:r w:rsidRPr="00BA462D">
                        <w:rPr>
                          <w:rFonts w:asciiTheme="majorHAnsi" w:hAnsiTheme="majorHAnsi" w:cs="Arial"/>
                          <w:sz w:val="22"/>
                          <w:szCs w:val="22"/>
                        </w:rPr>
                        <w:t xml:space="preserve">mit einer Ausgabe 2021 herausgegeben. </w:t>
                      </w:r>
                      <w:r w:rsidR="0093546B" w:rsidRPr="00BA462D">
                        <w:rPr>
                          <w:rFonts w:asciiTheme="majorHAnsi" w:hAnsiTheme="majorHAnsi" w:cs="Arial"/>
                          <w:sz w:val="22"/>
                          <w:szCs w:val="22"/>
                        </w:rPr>
                        <w:t xml:space="preserve">Der </w:t>
                      </w:r>
                      <w:r w:rsidRPr="00BA462D">
                        <w:rPr>
                          <w:rFonts w:asciiTheme="majorHAnsi" w:hAnsiTheme="majorHAnsi" w:cs="Arial"/>
                          <w:sz w:val="22"/>
                          <w:szCs w:val="22"/>
                        </w:rPr>
                        <w:t xml:space="preserve">Bezugspreis ist </w:t>
                      </w:r>
                      <w:r w:rsidR="00DC4016">
                        <w:rPr>
                          <w:rFonts w:asciiTheme="majorHAnsi" w:hAnsiTheme="majorHAnsi" w:cs="Arial"/>
                          <w:sz w:val="22"/>
                          <w:szCs w:val="22"/>
                        </w:rPr>
                        <w:br/>
                      </w:r>
                      <w:r w:rsidR="00E46E63" w:rsidRPr="00BA462D">
                        <w:rPr>
                          <w:rFonts w:asciiTheme="majorHAnsi" w:hAnsiTheme="majorHAnsi" w:cs="Arial"/>
                          <w:sz w:val="22"/>
                          <w:szCs w:val="22"/>
                        </w:rPr>
                        <w:t>5</w:t>
                      </w:r>
                      <w:r w:rsidR="00FC67FC">
                        <w:rPr>
                          <w:rFonts w:asciiTheme="majorHAnsi" w:hAnsiTheme="majorHAnsi" w:cs="Arial"/>
                          <w:sz w:val="22"/>
                          <w:szCs w:val="22"/>
                        </w:rPr>
                        <w:t>0</w:t>
                      </w:r>
                      <w:r w:rsidRPr="00BA462D">
                        <w:rPr>
                          <w:rFonts w:asciiTheme="majorHAnsi" w:hAnsiTheme="majorHAnsi" w:cs="Arial"/>
                          <w:sz w:val="22"/>
                          <w:szCs w:val="22"/>
                        </w:rPr>
                        <w:t>,</w:t>
                      </w:r>
                      <w:r w:rsidR="00C663D3" w:rsidRPr="00BA462D">
                        <w:rPr>
                          <w:rFonts w:asciiTheme="majorHAnsi" w:hAnsiTheme="majorHAnsi" w:cs="Arial"/>
                          <w:sz w:val="22"/>
                          <w:szCs w:val="22"/>
                        </w:rPr>
                        <w:t>5</w:t>
                      </w:r>
                      <w:r w:rsidRPr="00BA462D">
                        <w:rPr>
                          <w:rFonts w:asciiTheme="majorHAnsi" w:hAnsiTheme="majorHAnsi" w:cs="Arial"/>
                          <w:sz w:val="22"/>
                          <w:szCs w:val="22"/>
                        </w:rPr>
                        <w:t>0 EUR (FGSV-Mitglieder erhalten einen Rabatt von 30 %).</w:t>
                      </w:r>
                    </w:p>
                    <w:p w14:paraId="047F1342" w14:textId="423AE7BB" w:rsidR="00CE1F68" w:rsidRPr="00CE1F68" w:rsidRDefault="00CE1F68" w:rsidP="00CE1F68">
                      <w:pPr>
                        <w:pStyle w:val="StandardWeb"/>
                        <w:rPr>
                          <w:rFonts w:asciiTheme="majorHAnsi" w:hAnsiTheme="majorHAnsi"/>
                          <w:sz w:val="22"/>
                          <w:szCs w:val="22"/>
                        </w:rPr>
                      </w:pPr>
                      <w:r w:rsidRPr="00CE1F68">
                        <w:rPr>
                          <w:rFonts w:asciiTheme="majorHAnsi" w:hAnsiTheme="majorHAnsi"/>
                          <w:sz w:val="22"/>
                          <w:szCs w:val="22"/>
                        </w:rPr>
                        <w:t xml:space="preserve">Von Straßenbauvorhaben sind regelmäßig Gewässer betroffen. </w:t>
                      </w:r>
                      <w:r w:rsidR="005D68FA">
                        <w:rPr>
                          <w:rFonts w:asciiTheme="majorHAnsi" w:hAnsiTheme="majorHAnsi"/>
                          <w:sz w:val="22"/>
                          <w:szCs w:val="22"/>
                        </w:rPr>
                        <w:br/>
                      </w:r>
                      <w:r w:rsidRPr="00CE1F68">
                        <w:rPr>
                          <w:rFonts w:asciiTheme="majorHAnsi" w:hAnsiTheme="majorHAnsi"/>
                          <w:sz w:val="22"/>
                          <w:szCs w:val="22"/>
                        </w:rPr>
                        <w:t xml:space="preserve">Gewässerbenutzungen bedürfen der Erlaubnis bzw. Bewilligung der Wasserbehörde. Im Planfeststellungsbeschluss wird über </w:t>
                      </w:r>
                      <w:r w:rsidR="00EE24A0">
                        <w:rPr>
                          <w:rFonts w:asciiTheme="majorHAnsi" w:hAnsiTheme="majorHAnsi"/>
                          <w:sz w:val="22"/>
                          <w:szCs w:val="22"/>
                        </w:rPr>
                        <w:br/>
                      </w:r>
                      <w:r w:rsidRPr="00CE1F68">
                        <w:rPr>
                          <w:rFonts w:asciiTheme="majorHAnsi" w:hAnsiTheme="majorHAnsi"/>
                          <w:sz w:val="22"/>
                          <w:szCs w:val="22"/>
                        </w:rPr>
                        <w:t>wasserrechtliche Erlaubnisse und Bewilligungen gesondert entschieden.</w:t>
                      </w:r>
                    </w:p>
                    <w:p w14:paraId="1A1284E6" w14:textId="24858510" w:rsidR="00CE1F68" w:rsidRPr="00CE1F68" w:rsidRDefault="00CE1F68" w:rsidP="00CE1F68">
                      <w:pPr>
                        <w:pStyle w:val="StandardWeb"/>
                        <w:rPr>
                          <w:rFonts w:asciiTheme="majorHAnsi" w:hAnsiTheme="majorHAnsi"/>
                          <w:sz w:val="22"/>
                          <w:szCs w:val="22"/>
                        </w:rPr>
                      </w:pPr>
                      <w:r w:rsidRPr="00CE1F68">
                        <w:rPr>
                          <w:rFonts w:asciiTheme="majorHAnsi" w:hAnsiTheme="majorHAnsi"/>
                          <w:sz w:val="22"/>
                          <w:szCs w:val="22"/>
                        </w:rPr>
                        <w:t xml:space="preserve">Bei dieser Entscheidung spielt eine wesentliche Rolle, ob die </w:t>
                      </w:r>
                      <w:r w:rsidR="000E7557">
                        <w:rPr>
                          <w:rFonts w:asciiTheme="majorHAnsi" w:hAnsiTheme="majorHAnsi"/>
                          <w:sz w:val="22"/>
                          <w:szCs w:val="22"/>
                        </w:rPr>
                        <w:br/>
                      </w:r>
                      <w:r w:rsidRPr="00CE1F68">
                        <w:rPr>
                          <w:rFonts w:asciiTheme="majorHAnsi" w:hAnsiTheme="majorHAnsi"/>
                          <w:sz w:val="22"/>
                          <w:szCs w:val="22"/>
                        </w:rPr>
                        <w:t>Gewässerbenutzung mit den Regelungen des Wasserhaushalts</w:t>
                      </w:r>
                      <w:r w:rsidR="000E7557">
                        <w:rPr>
                          <w:rFonts w:asciiTheme="majorHAnsi" w:hAnsiTheme="majorHAnsi"/>
                          <w:sz w:val="22"/>
                          <w:szCs w:val="22"/>
                        </w:rPr>
                        <w:t>-</w:t>
                      </w:r>
                      <w:r w:rsidR="000E7557">
                        <w:rPr>
                          <w:rFonts w:asciiTheme="majorHAnsi" w:hAnsiTheme="majorHAnsi"/>
                          <w:sz w:val="22"/>
                          <w:szCs w:val="22"/>
                        </w:rPr>
                        <w:br/>
                      </w:r>
                      <w:proofErr w:type="spellStart"/>
                      <w:r w:rsidRPr="00CE1F68">
                        <w:rPr>
                          <w:rFonts w:asciiTheme="majorHAnsi" w:hAnsiTheme="majorHAnsi"/>
                          <w:sz w:val="22"/>
                          <w:szCs w:val="22"/>
                        </w:rPr>
                        <w:t>gesetzes</w:t>
                      </w:r>
                      <w:proofErr w:type="spellEnd"/>
                      <w:r w:rsidRPr="00CE1F68">
                        <w:rPr>
                          <w:rFonts w:asciiTheme="majorHAnsi" w:hAnsiTheme="majorHAnsi"/>
                          <w:sz w:val="22"/>
                          <w:szCs w:val="22"/>
                        </w:rPr>
                        <w:t xml:space="preserve"> (WHG) insgesamt in Einklang steht. Bezogen auf die </w:t>
                      </w:r>
                      <w:r w:rsidR="000E7557">
                        <w:rPr>
                          <w:rFonts w:asciiTheme="majorHAnsi" w:hAnsiTheme="majorHAnsi"/>
                          <w:sz w:val="22"/>
                          <w:szCs w:val="22"/>
                        </w:rPr>
                        <w:br/>
                      </w:r>
                      <w:r w:rsidRPr="00CE1F68">
                        <w:rPr>
                          <w:rFonts w:asciiTheme="majorHAnsi" w:hAnsiTheme="majorHAnsi"/>
                          <w:sz w:val="22"/>
                          <w:szCs w:val="22"/>
                        </w:rPr>
                        <w:t xml:space="preserve">Wasserrahmenrichtlinie (WRRL) ist dies dann der Fall, wenn eine Verschlechterung des Wasserkörperzustands vermieden wird („Verschlechterungsverbot“) und die Erreichung eines guten </w:t>
                      </w:r>
                      <w:r w:rsidR="000E7557">
                        <w:rPr>
                          <w:rFonts w:asciiTheme="majorHAnsi" w:hAnsiTheme="majorHAnsi"/>
                          <w:sz w:val="22"/>
                          <w:szCs w:val="22"/>
                        </w:rPr>
                        <w:br/>
                      </w:r>
                      <w:r w:rsidRPr="00CE1F68">
                        <w:rPr>
                          <w:rFonts w:asciiTheme="majorHAnsi" w:hAnsiTheme="majorHAnsi"/>
                          <w:sz w:val="22"/>
                          <w:szCs w:val="22"/>
                        </w:rPr>
                        <w:t>Zustands weiterhin möglich ist („</w:t>
                      </w:r>
                      <w:proofErr w:type="spellStart"/>
                      <w:r w:rsidRPr="00CE1F68">
                        <w:rPr>
                          <w:rFonts w:asciiTheme="majorHAnsi" w:hAnsiTheme="majorHAnsi"/>
                          <w:sz w:val="22"/>
                          <w:szCs w:val="22"/>
                        </w:rPr>
                        <w:t>Verbesserungs</w:t>
                      </w:r>
                      <w:proofErr w:type="spellEnd"/>
                      <w:r w:rsidRPr="00CE1F68">
                        <w:rPr>
                          <w:rFonts w:asciiTheme="majorHAnsi" w:hAnsiTheme="majorHAnsi"/>
                          <w:sz w:val="22"/>
                          <w:szCs w:val="22"/>
                        </w:rPr>
                        <w:t>“- bzw. „Ziel</w:t>
                      </w:r>
                      <w:r w:rsidR="005B338A">
                        <w:rPr>
                          <w:rFonts w:asciiTheme="majorHAnsi" w:hAnsiTheme="majorHAnsi"/>
                          <w:sz w:val="22"/>
                          <w:szCs w:val="22"/>
                        </w:rPr>
                        <w:t>-</w:t>
                      </w:r>
                      <w:r w:rsidR="005B338A">
                        <w:rPr>
                          <w:rFonts w:asciiTheme="majorHAnsi" w:hAnsiTheme="majorHAnsi"/>
                          <w:sz w:val="22"/>
                          <w:szCs w:val="22"/>
                        </w:rPr>
                        <w:br/>
                      </w:r>
                      <w:r w:rsidRPr="00CE1F68">
                        <w:rPr>
                          <w:rFonts w:asciiTheme="majorHAnsi" w:hAnsiTheme="majorHAnsi"/>
                          <w:sz w:val="22"/>
                          <w:szCs w:val="22"/>
                        </w:rPr>
                        <w:t xml:space="preserve">erreichungsgebot“). Das M WRRL gilt daher für die Prüfung von </w:t>
                      </w:r>
                      <w:r w:rsidR="000E7557">
                        <w:rPr>
                          <w:rFonts w:asciiTheme="majorHAnsi" w:hAnsiTheme="majorHAnsi"/>
                          <w:sz w:val="22"/>
                          <w:szCs w:val="22"/>
                        </w:rPr>
                        <w:br/>
                      </w:r>
                      <w:r w:rsidRPr="00CE1F68">
                        <w:rPr>
                          <w:rFonts w:asciiTheme="majorHAnsi" w:hAnsiTheme="majorHAnsi"/>
                          <w:sz w:val="22"/>
                          <w:szCs w:val="22"/>
                        </w:rPr>
                        <w:t xml:space="preserve">Straßenbauvorhaben (Neu- und Ausbau) auf ihre Vereinbarkeit </w:t>
                      </w:r>
                      <w:r w:rsidR="000E7557">
                        <w:rPr>
                          <w:rFonts w:asciiTheme="majorHAnsi" w:hAnsiTheme="majorHAnsi"/>
                          <w:sz w:val="22"/>
                          <w:szCs w:val="22"/>
                        </w:rPr>
                        <w:br/>
                      </w:r>
                      <w:r w:rsidRPr="00CE1F68">
                        <w:rPr>
                          <w:rFonts w:asciiTheme="majorHAnsi" w:hAnsiTheme="majorHAnsi"/>
                          <w:sz w:val="22"/>
                          <w:szCs w:val="22"/>
                        </w:rPr>
                        <w:t>mit der Wasserrahmenrichtlinie.</w:t>
                      </w:r>
                    </w:p>
                    <w:p w14:paraId="53812EB1" w14:textId="3F4C4D7B" w:rsidR="00CE1F68" w:rsidRPr="00CE1F68" w:rsidRDefault="00CE1F68" w:rsidP="00CE1F68">
                      <w:pPr>
                        <w:pStyle w:val="StandardWeb"/>
                        <w:rPr>
                          <w:rFonts w:asciiTheme="majorHAnsi" w:hAnsiTheme="majorHAnsi"/>
                          <w:sz w:val="22"/>
                          <w:szCs w:val="22"/>
                        </w:rPr>
                      </w:pPr>
                      <w:r w:rsidRPr="00CE1F68">
                        <w:rPr>
                          <w:rFonts w:asciiTheme="majorHAnsi" w:hAnsiTheme="majorHAnsi"/>
                          <w:sz w:val="22"/>
                          <w:szCs w:val="22"/>
                        </w:rPr>
                        <w:t xml:space="preserve">Das M WRRL gibt Empfehlungen und Hinweise für die Prüfung der Gewässerverträglichkeit nach WRRL. Im Fachbeitrag WRRL soll dargelegt werden, ob das Vorhaben dazu führen kann, den Zustand eines Wasserkörpers zu verschlechtern oder zu verhindern, </w:t>
                      </w:r>
                      <w:r w:rsidR="00A60E05">
                        <w:rPr>
                          <w:rFonts w:asciiTheme="majorHAnsi" w:hAnsiTheme="majorHAnsi"/>
                          <w:sz w:val="22"/>
                          <w:szCs w:val="22"/>
                        </w:rPr>
                        <w:br/>
                      </w:r>
                      <w:r w:rsidRPr="00CE1F68">
                        <w:rPr>
                          <w:rFonts w:asciiTheme="majorHAnsi" w:hAnsiTheme="majorHAnsi"/>
                          <w:sz w:val="22"/>
                          <w:szCs w:val="22"/>
                        </w:rPr>
                        <w:t xml:space="preserve">dass dieser zukünftig einen guten Zustand erreichen kann </w:t>
                      </w:r>
                      <w:r w:rsidR="00A60E05">
                        <w:rPr>
                          <w:rFonts w:asciiTheme="majorHAnsi" w:hAnsiTheme="majorHAnsi"/>
                          <w:sz w:val="22"/>
                          <w:szCs w:val="22"/>
                        </w:rPr>
                        <w:br/>
                      </w:r>
                      <w:r w:rsidRPr="00CE1F68">
                        <w:rPr>
                          <w:rFonts w:asciiTheme="majorHAnsi" w:hAnsiTheme="majorHAnsi"/>
                          <w:sz w:val="22"/>
                          <w:szCs w:val="22"/>
                        </w:rPr>
                        <w:t xml:space="preserve">(§§ 27, 47 WHG). Rechtliche und fachliche Grundlagen werden </w:t>
                      </w:r>
                      <w:r w:rsidR="00A60E05">
                        <w:rPr>
                          <w:rFonts w:asciiTheme="majorHAnsi" w:hAnsiTheme="majorHAnsi"/>
                          <w:sz w:val="22"/>
                          <w:szCs w:val="22"/>
                        </w:rPr>
                        <w:br/>
                      </w:r>
                      <w:r w:rsidRPr="00CE1F68">
                        <w:rPr>
                          <w:rFonts w:asciiTheme="majorHAnsi" w:hAnsiTheme="majorHAnsi"/>
                          <w:sz w:val="22"/>
                          <w:szCs w:val="22"/>
                        </w:rPr>
                        <w:t>vermittelt und die Bewertung der Auswirkungen von Straßenbaumaßnahmen sowie die Prüfung von Ausnahmen von den Bewirtschaftungszielen vermittelt. Zahlreiche Anlagen ergänzen das Merkblatt und die Prüfung auf die Vereinbarkeit mit der Wasserrahmenrichtlinie.</w:t>
                      </w:r>
                    </w:p>
                    <w:p w14:paraId="1DE90C8D" w14:textId="3021E3CA" w:rsidR="00CE1F68" w:rsidRPr="00CE1F68" w:rsidRDefault="00CE1F68" w:rsidP="00CE1F68">
                      <w:pPr>
                        <w:pStyle w:val="StandardWeb"/>
                        <w:rPr>
                          <w:rFonts w:asciiTheme="majorHAnsi" w:hAnsiTheme="majorHAnsi"/>
                          <w:sz w:val="22"/>
                          <w:szCs w:val="22"/>
                        </w:rPr>
                      </w:pPr>
                      <w:r w:rsidRPr="00CE1F68">
                        <w:rPr>
                          <w:rFonts w:asciiTheme="majorHAnsi" w:hAnsiTheme="majorHAnsi"/>
                          <w:sz w:val="22"/>
                          <w:szCs w:val="22"/>
                        </w:rPr>
                        <w:t>Das Merkblatt richtet sich an die Vorhabenträger und Straßenbauverwaltungen des Bundes und der Länder, Planungsbüros sowie die zuständigen Wasser- und Planfeststellungsbehörden. Sinn</w:t>
                      </w:r>
                      <w:r w:rsidR="000E7557">
                        <w:rPr>
                          <w:rFonts w:asciiTheme="majorHAnsi" w:hAnsiTheme="majorHAnsi"/>
                          <w:sz w:val="22"/>
                          <w:szCs w:val="22"/>
                        </w:rPr>
                        <w:t>-</w:t>
                      </w:r>
                      <w:r w:rsidR="000E7557">
                        <w:rPr>
                          <w:rFonts w:asciiTheme="majorHAnsi" w:hAnsiTheme="majorHAnsi"/>
                          <w:sz w:val="22"/>
                          <w:szCs w:val="22"/>
                        </w:rPr>
                        <w:br/>
                      </w:r>
                      <w:r w:rsidRPr="00CE1F68">
                        <w:rPr>
                          <w:rFonts w:asciiTheme="majorHAnsi" w:hAnsiTheme="majorHAnsi"/>
                          <w:sz w:val="22"/>
                          <w:szCs w:val="22"/>
                        </w:rPr>
                        <w:t>gemäß können Inhalte des Merkblattes auch für andere Vorhabenträger nutzbar sein.</w:t>
                      </w:r>
                    </w:p>
                    <w:p w14:paraId="6D47BDC9" w14:textId="00CC8B06" w:rsidR="00365687" w:rsidRPr="00BA462D"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3"/>
  </w:num>
  <w:num w:numId="14">
    <w:abstractNumId w:val="1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607AA"/>
    <w:rsid w:val="000618A4"/>
    <w:rsid w:val="00062E44"/>
    <w:rsid w:val="000657DE"/>
    <w:rsid w:val="00065901"/>
    <w:rsid w:val="0006640B"/>
    <w:rsid w:val="000668B0"/>
    <w:rsid w:val="00070EE4"/>
    <w:rsid w:val="000828E4"/>
    <w:rsid w:val="00086700"/>
    <w:rsid w:val="00086AF3"/>
    <w:rsid w:val="00092F03"/>
    <w:rsid w:val="00094D39"/>
    <w:rsid w:val="0009503A"/>
    <w:rsid w:val="000A3DB2"/>
    <w:rsid w:val="000A4F8A"/>
    <w:rsid w:val="000A76E8"/>
    <w:rsid w:val="000A7BC4"/>
    <w:rsid w:val="000B2304"/>
    <w:rsid w:val="000B4A7D"/>
    <w:rsid w:val="000B7E57"/>
    <w:rsid w:val="000C1422"/>
    <w:rsid w:val="000C2D6A"/>
    <w:rsid w:val="000C6ADE"/>
    <w:rsid w:val="000D2C73"/>
    <w:rsid w:val="000D304D"/>
    <w:rsid w:val="000D4749"/>
    <w:rsid w:val="000E6F79"/>
    <w:rsid w:val="000E7557"/>
    <w:rsid w:val="000E7DAC"/>
    <w:rsid w:val="000F7917"/>
    <w:rsid w:val="00102F83"/>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C3C32"/>
    <w:rsid w:val="001D1155"/>
    <w:rsid w:val="001D1B15"/>
    <w:rsid w:val="001D1B47"/>
    <w:rsid w:val="001D44C8"/>
    <w:rsid w:val="001E050B"/>
    <w:rsid w:val="001E6D15"/>
    <w:rsid w:val="001F00E2"/>
    <w:rsid w:val="001F0E20"/>
    <w:rsid w:val="001F17DA"/>
    <w:rsid w:val="001F2510"/>
    <w:rsid w:val="00201BA1"/>
    <w:rsid w:val="00203545"/>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45DA1"/>
    <w:rsid w:val="002500D9"/>
    <w:rsid w:val="00250EF8"/>
    <w:rsid w:val="002524E5"/>
    <w:rsid w:val="00254FD9"/>
    <w:rsid w:val="00255518"/>
    <w:rsid w:val="002657E0"/>
    <w:rsid w:val="00266BA1"/>
    <w:rsid w:val="00273F70"/>
    <w:rsid w:val="0027717F"/>
    <w:rsid w:val="002854BE"/>
    <w:rsid w:val="00291DED"/>
    <w:rsid w:val="0029379E"/>
    <w:rsid w:val="002B7136"/>
    <w:rsid w:val="002C5DB9"/>
    <w:rsid w:val="002C63D9"/>
    <w:rsid w:val="002D0619"/>
    <w:rsid w:val="002D0F15"/>
    <w:rsid w:val="002D58CB"/>
    <w:rsid w:val="002D75D0"/>
    <w:rsid w:val="002D7E83"/>
    <w:rsid w:val="002E18D0"/>
    <w:rsid w:val="002E3A8A"/>
    <w:rsid w:val="002E47C0"/>
    <w:rsid w:val="002F00E1"/>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F96"/>
    <w:rsid w:val="003C2F53"/>
    <w:rsid w:val="003C794D"/>
    <w:rsid w:val="003D2A3C"/>
    <w:rsid w:val="003D4B5B"/>
    <w:rsid w:val="003E747C"/>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17307"/>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1F68"/>
    <w:rsid w:val="00CE6943"/>
    <w:rsid w:val="00CF206C"/>
    <w:rsid w:val="00CF3BBD"/>
    <w:rsid w:val="00CF440E"/>
    <w:rsid w:val="00CF4E8D"/>
    <w:rsid w:val="00D030A6"/>
    <w:rsid w:val="00D0592A"/>
    <w:rsid w:val="00D0798F"/>
    <w:rsid w:val="00D101CC"/>
    <w:rsid w:val="00D17822"/>
    <w:rsid w:val="00D17EF9"/>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6574"/>
    <w:rsid w:val="00E108F6"/>
    <w:rsid w:val="00E27B0B"/>
    <w:rsid w:val="00E302C3"/>
    <w:rsid w:val="00E34182"/>
    <w:rsid w:val="00E40932"/>
    <w:rsid w:val="00E40DF5"/>
    <w:rsid w:val="00E43D09"/>
    <w:rsid w:val="00E46E63"/>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247</cp:revision>
  <cp:lastPrinted>2022-01-06T07:50:00Z</cp:lastPrinted>
  <dcterms:created xsi:type="dcterms:W3CDTF">2020-06-23T09:12:00Z</dcterms:created>
  <dcterms:modified xsi:type="dcterms:W3CDTF">2022-01-06T07:51:00Z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