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5F7C0596" w14:textId="34DD314F" w:rsidR="00854188" w:rsidRPr="00BE0FFC" w:rsidRDefault="001C246F"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34BF60EE">
                <wp:simplePos x="0" y="0"/>
                <wp:positionH relativeFrom="page">
                  <wp:posOffset>2971800</wp:posOffset>
                </wp:positionH>
                <wp:positionV relativeFrom="margin">
                  <wp:posOffset>2483485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38846E28" w:rsidR="00491F7F" w:rsidRPr="001C246F" w:rsidRDefault="00E658DF" w:rsidP="00491F7F">
                            <w:pPr>
                              <w:pStyle w:val="StandardWeb"/>
                              <w:rPr>
                                <w:rFonts w:asciiTheme="majorHAnsi" w:hAnsiTheme="majorHAnsi" w:cs="Arial"/>
                                <w:sz w:val="21"/>
                                <w:szCs w:val="21"/>
                              </w:rPr>
                            </w:pPr>
                            <w:r w:rsidRPr="001C246F">
                              <w:rPr>
                                <w:rFonts w:asciiTheme="majorHAnsi" w:hAnsiTheme="majorHAnsi" w:cs="Arial"/>
                                <w:sz w:val="21"/>
                                <w:szCs w:val="21"/>
                              </w:rPr>
                              <w:t xml:space="preserve">Die Forschungsgesellschaft für Straßen- und Verkehrswesen (FGSV) hat mit einer Ausgabe </w:t>
                            </w:r>
                            <w:r w:rsidR="00FB13BA" w:rsidRPr="001C246F">
                              <w:rPr>
                                <w:rFonts w:asciiTheme="majorHAnsi" w:hAnsiTheme="majorHAnsi" w:cs="Arial"/>
                                <w:sz w:val="21"/>
                                <w:szCs w:val="21"/>
                              </w:rPr>
                              <w:t>2024</w:t>
                            </w:r>
                            <w:r w:rsidRPr="001C246F">
                              <w:rPr>
                                <w:rFonts w:asciiTheme="majorHAnsi" w:hAnsiTheme="majorHAnsi" w:cs="Arial"/>
                                <w:sz w:val="21"/>
                                <w:szCs w:val="21"/>
                              </w:rPr>
                              <w:t xml:space="preserve"> d</w:t>
                            </w:r>
                            <w:r w:rsidR="009C6FE5" w:rsidRPr="001C246F">
                              <w:rPr>
                                <w:rFonts w:asciiTheme="majorHAnsi" w:hAnsiTheme="majorHAnsi" w:cs="Arial"/>
                                <w:sz w:val="21"/>
                                <w:szCs w:val="21"/>
                              </w:rPr>
                              <w:t>as</w:t>
                            </w:r>
                            <w:r w:rsidRPr="001C246F">
                              <w:rPr>
                                <w:rFonts w:asciiTheme="majorHAnsi" w:hAnsiTheme="majorHAnsi" w:cs="Arial"/>
                                <w:sz w:val="21"/>
                                <w:szCs w:val="21"/>
                              </w:rPr>
                              <w:t xml:space="preserve"> „</w:t>
                            </w:r>
                            <w:r w:rsidR="009C6FE5" w:rsidRPr="001C246F">
                              <w:rPr>
                                <w:rFonts w:asciiTheme="majorHAnsi" w:hAnsiTheme="majorHAnsi" w:cs="Arial"/>
                                <w:sz w:val="21"/>
                                <w:szCs w:val="21"/>
                              </w:rPr>
                              <w:t xml:space="preserve">Merkblatt </w:t>
                            </w:r>
                            <w:r w:rsidR="001C246F" w:rsidRPr="001C246F">
                              <w:rPr>
                                <w:rFonts w:asciiTheme="majorHAnsi" w:hAnsiTheme="majorHAnsi" w:cs="Arial"/>
                                <w:sz w:val="21"/>
                                <w:szCs w:val="21"/>
                              </w:rPr>
                              <w:t>über die Anwendung von Erosionsschutzprodukten und Begrünungshilfen aus natürlichen und synthetischen Materialien im Erd- und Landschaftsbau des Straßenbaus</w:t>
                            </w:r>
                            <w:r w:rsidRPr="001C246F">
                              <w:rPr>
                                <w:rFonts w:asciiTheme="majorHAnsi" w:hAnsiTheme="majorHAnsi" w:cs="Arial"/>
                                <w:sz w:val="21"/>
                                <w:szCs w:val="21"/>
                              </w:rPr>
                              <w:t>" (</w:t>
                            </w:r>
                            <w:r w:rsidR="009C6FE5" w:rsidRPr="001C246F">
                              <w:rPr>
                                <w:rFonts w:asciiTheme="majorHAnsi" w:hAnsiTheme="majorHAnsi" w:cs="Arial"/>
                                <w:sz w:val="21"/>
                                <w:szCs w:val="21"/>
                              </w:rPr>
                              <w:t xml:space="preserve">M </w:t>
                            </w:r>
                            <w:r w:rsidR="001C246F" w:rsidRPr="001C246F">
                              <w:rPr>
                                <w:rFonts w:asciiTheme="majorHAnsi" w:hAnsiTheme="majorHAnsi" w:cs="Arial"/>
                                <w:sz w:val="21"/>
                                <w:szCs w:val="21"/>
                              </w:rPr>
                              <w:t>AEBEL</w:t>
                            </w:r>
                            <w:r w:rsidRPr="001C246F">
                              <w:rPr>
                                <w:rFonts w:asciiTheme="majorHAnsi" w:hAnsiTheme="majorHAnsi" w:cs="Arial"/>
                                <w:sz w:val="21"/>
                                <w:szCs w:val="21"/>
                              </w:rPr>
                              <w:t xml:space="preserve">) herausgegeben. </w:t>
                            </w:r>
                            <w:r w:rsidR="00491F7F" w:rsidRPr="001C246F">
                              <w:rPr>
                                <w:rFonts w:asciiTheme="majorHAnsi" w:hAnsiTheme="majorHAnsi" w:cs="Arial"/>
                                <w:sz w:val="21"/>
                                <w:szCs w:val="21"/>
                              </w:rPr>
                              <w:t xml:space="preserve">Der Bezugspreis ist </w:t>
                            </w:r>
                            <w:r w:rsidR="001C246F" w:rsidRPr="001C246F">
                              <w:rPr>
                                <w:rFonts w:asciiTheme="majorHAnsi" w:hAnsiTheme="majorHAnsi" w:cs="Arial"/>
                                <w:sz w:val="21"/>
                                <w:szCs w:val="21"/>
                              </w:rPr>
                              <w:t>88</w:t>
                            </w:r>
                            <w:r w:rsidR="00491F7F" w:rsidRPr="001C246F">
                              <w:rPr>
                                <w:rFonts w:asciiTheme="majorHAnsi" w:hAnsiTheme="majorHAnsi" w:cs="Arial"/>
                                <w:sz w:val="21"/>
                                <w:szCs w:val="21"/>
                              </w:rPr>
                              <w:t>,</w:t>
                            </w:r>
                            <w:r w:rsidR="001C246F" w:rsidRPr="001C246F">
                              <w:rPr>
                                <w:rFonts w:asciiTheme="majorHAnsi" w:hAnsiTheme="majorHAnsi" w:cs="Arial"/>
                                <w:sz w:val="21"/>
                                <w:szCs w:val="21"/>
                              </w:rPr>
                              <w:t>0</w:t>
                            </w:r>
                            <w:r w:rsidR="00491F7F" w:rsidRPr="001C246F">
                              <w:rPr>
                                <w:rFonts w:asciiTheme="majorHAnsi" w:hAnsiTheme="majorHAnsi" w:cs="Arial"/>
                                <w:sz w:val="21"/>
                                <w:szCs w:val="21"/>
                              </w:rPr>
                              <w:t>0 EUR (FGSV</w:t>
                            </w:r>
                            <w:r w:rsidR="00FB13BA" w:rsidRPr="001C246F">
                              <w:rPr>
                                <w:rFonts w:asciiTheme="majorHAnsi" w:hAnsiTheme="majorHAnsi" w:cs="Arial"/>
                                <w:sz w:val="21"/>
                                <w:szCs w:val="21"/>
                              </w:rPr>
                              <w:t>-</w:t>
                            </w:r>
                            <w:r w:rsidR="00491F7F" w:rsidRPr="001C246F">
                              <w:rPr>
                                <w:rFonts w:asciiTheme="majorHAnsi" w:hAnsiTheme="majorHAnsi" w:cs="Arial"/>
                                <w:sz w:val="21"/>
                                <w:szCs w:val="21"/>
                              </w:rPr>
                              <w:t>Mitglieder</w:t>
                            </w:r>
                            <w:r w:rsidR="00C3467C" w:rsidRPr="001C246F">
                              <w:rPr>
                                <w:rFonts w:asciiTheme="majorHAnsi" w:hAnsiTheme="majorHAnsi" w:cs="Arial"/>
                                <w:sz w:val="21"/>
                                <w:szCs w:val="21"/>
                              </w:rPr>
                              <w:t xml:space="preserve"> </w:t>
                            </w:r>
                            <w:r w:rsidR="00491F7F" w:rsidRPr="001C246F">
                              <w:rPr>
                                <w:rFonts w:asciiTheme="majorHAnsi" w:hAnsiTheme="majorHAnsi" w:cs="Arial"/>
                                <w:sz w:val="21"/>
                                <w:szCs w:val="21"/>
                              </w:rPr>
                              <w:t>erhalten einen</w:t>
                            </w:r>
                            <w:r w:rsidR="001D167E" w:rsidRPr="001C246F">
                              <w:rPr>
                                <w:rFonts w:asciiTheme="majorHAnsi" w:hAnsiTheme="majorHAnsi" w:cs="Arial"/>
                                <w:sz w:val="21"/>
                                <w:szCs w:val="21"/>
                              </w:rPr>
                              <w:t xml:space="preserve"> </w:t>
                            </w:r>
                            <w:r w:rsidR="00491F7F" w:rsidRPr="001C246F">
                              <w:rPr>
                                <w:rFonts w:asciiTheme="majorHAnsi" w:hAnsiTheme="majorHAnsi" w:cs="Arial"/>
                                <w:sz w:val="21"/>
                                <w:szCs w:val="21"/>
                              </w:rPr>
                              <w:t>Rabatt von 30 %).</w:t>
                            </w:r>
                          </w:p>
                          <w:p w14:paraId="6D47BDC9" w14:textId="7FBEA636" w:rsidR="00365687" w:rsidRPr="001C246F" w:rsidRDefault="001C246F" w:rsidP="00777421">
                            <w:pPr>
                              <w:pStyle w:val="StandardWeb"/>
                              <w:rPr>
                                <w:rFonts w:asciiTheme="majorHAnsi" w:hAnsiTheme="majorHAnsi"/>
                                <w:sz w:val="21"/>
                                <w:szCs w:val="21"/>
                              </w:rPr>
                            </w:pPr>
                            <w:r w:rsidRPr="001C246F">
                              <w:rPr>
                                <w:rFonts w:asciiTheme="majorHAnsi" w:hAnsiTheme="majorHAnsi"/>
                                <w:sz w:val="21"/>
                                <w:szCs w:val="21"/>
                              </w:rPr>
                              <w:t xml:space="preserve">Das M AEBEL enthält Angaben über die Anwendungsmöglichkeiten von Erosionsschutzprodukten und Begrünungshilfen aus natürlichen und synthetischen Materialien im Erd- und Landschaftsbau des </w:t>
                            </w:r>
                            <w:r>
                              <w:rPr>
                                <w:rFonts w:asciiTheme="majorHAnsi" w:hAnsiTheme="majorHAnsi"/>
                                <w:sz w:val="21"/>
                                <w:szCs w:val="21"/>
                              </w:rPr>
                              <w:br/>
                            </w:r>
                            <w:r w:rsidRPr="001C246F">
                              <w:rPr>
                                <w:rFonts w:asciiTheme="majorHAnsi" w:hAnsiTheme="majorHAnsi"/>
                                <w:sz w:val="21"/>
                                <w:szCs w:val="21"/>
                              </w:rPr>
                              <w:t>Straßenbaus. Anwendungsgebiete sind der Schutz und die Be</w:t>
                            </w:r>
                            <w:r>
                              <w:rPr>
                                <w:rFonts w:asciiTheme="majorHAnsi" w:hAnsiTheme="majorHAnsi"/>
                                <w:sz w:val="21"/>
                                <w:szCs w:val="21"/>
                              </w:rPr>
                              <w:t>-</w:t>
                            </w:r>
                            <w:r>
                              <w:rPr>
                                <w:rFonts w:asciiTheme="majorHAnsi" w:hAnsiTheme="majorHAnsi"/>
                                <w:sz w:val="21"/>
                                <w:szCs w:val="21"/>
                              </w:rPr>
                              <w:br/>
                            </w:r>
                            <w:proofErr w:type="spellStart"/>
                            <w:r w:rsidRPr="001C246F">
                              <w:rPr>
                                <w:rFonts w:asciiTheme="majorHAnsi" w:hAnsiTheme="majorHAnsi"/>
                                <w:sz w:val="21"/>
                                <w:szCs w:val="21"/>
                              </w:rPr>
                              <w:t>grünung</w:t>
                            </w:r>
                            <w:proofErr w:type="spellEnd"/>
                            <w:r w:rsidRPr="001C246F">
                              <w:rPr>
                                <w:rFonts w:asciiTheme="majorHAnsi" w:hAnsiTheme="majorHAnsi"/>
                                <w:sz w:val="21"/>
                                <w:szCs w:val="21"/>
                              </w:rPr>
                              <w:t xml:space="preserve"> von z. B. Böschungen und periodisch wasserführenden </w:t>
                            </w:r>
                            <w:r>
                              <w:rPr>
                                <w:rFonts w:asciiTheme="majorHAnsi" w:hAnsiTheme="majorHAnsi"/>
                                <w:sz w:val="21"/>
                                <w:szCs w:val="21"/>
                              </w:rPr>
                              <w:br/>
                            </w:r>
                            <w:r w:rsidRPr="001C246F">
                              <w:rPr>
                                <w:rFonts w:asciiTheme="majorHAnsi" w:hAnsiTheme="majorHAnsi"/>
                                <w:sz w:val="21"/>
                                <w:szCs w:val="21"/>
                              </w:rPr>
                              <w:t xml:space="preserve">Entwässerungseinrichtungen. Das Merkblatt konzentriert sich auf die oberflächlichen Prozesse der Bodenerosion (Oberflächenerosion), die im Wesentlichen durch Wasser, zum Teil auch durch Wind verursacht werden. Diese Prozesse beziehen sich auf den obersten Bodenhorizont. </w:t>
                            </w:r>
                            <w:r w:rsidRPr="001C246F">
                              <w:rPr>
                                <w:rFonts w:asciiTheme="majorHAnsi" w:hAnsiTheme="majorHAnsi"/>
                                <w:sz w:val="21"/>
                                <w:szCs w:val="21"/>
                              </w:rPr>
                              <w:br/>
                            </w:r>
                            <w:r w:rsidRPr="001C246F">
                              <w:rPr>
                                <w:rFonts w:asciiTheme="majorHAnsi" w:hAnsiTheme="majorHAnsi"/>
                                <w:sz w:val="21"/>
                                <w:szCs w:val="21"/>
                              </w:rPr>
                              <w:br/>
                              <w:t xml:space="preserve">Das M AEBEL gibt Hinweise für Planung, Bau, Unterhaltung und </w:t>
                            </w:r>
                            <w:r w:rsidR="0055750D">
                              <w:rPr>
                                <w:rFonts w:asciiTheme="majorHAnsi" w:hAnsiTheme="majorHAnsi"/>
                                <w:sz w:val="21"/>
                                <w:szCs w:val="21"/>
                              </w:rPr>
                              <w:br/>
                            </w:r>
                            <w:r w:rsidRPr="001C246F">
                              <w:rPr>
                                <w:rFonts w:asciiTheme="majorHAnsi" w:hAnsiTheme="majorHAnsi"/>
                                <w:sz w:val="21"/>
                                <w:szCs w:val="21"/>
                              </w:rPr>
                              <w:t>Sanierung eines funktionsgerechten Erosionsschutzes mit standort</w:t>
                            </w:r>
                            <w:r w:rsidR="0055750D">
                              <w:rPr>
                                <w:rFonts w:asciiTheme="majorHAnsi" w:hAnsiTheme="majorHAnsi"/>
                                <w:sz w:val="21"/>
                                <w:szCs w:val="21"/>
                              </w:rPr>
                              <w:t>-</w:t>
                            </w:r>
                            <w:r w:rsidRPr="001C246F">
                              <w:rPr>
                                <w:rFonts w:asciiTheme="majorHAnsi" w:hAnsiTheme="majorHAnsi"/>
                                <w:sz w:val="21"/>
                                <w:szCs w:val="21"/>
                              </w:rPr>
                              <w:t xml:space="preserve">gerechter Begrünung im Straßenbau bei Anwendung von Erosionsschutzprodukten und Begrünungshilfen aus natürlichen und </w:t>
                            </w:r>
                            <w:r w:rsidR="0055750D">
                              <w:rPr>
                                <w:rFonts w:asciiTheme="majorHAnsi" w:hAnsiTheme="majorHAnsi"/>
                                <w:sz w:val="21"/>
                                <w:szCs w:val="21"/>
                              </w:rPr>
                              <w:br/>
                            </w:r>
                            <w:r w:rsidRPr="001C246F">
                              <w:rPr>
                                <w:rFonts w:asciiTheme="majorHAnsi" w:hAnsiTheme="majorHAnsi"/>
                                <w:sz w:val="21"/>
                                <w:szCs w:val="21"/>
                              </w:rPr>
                              <w:t>synthetischen Materialien. Das M AEBEL gilt auch für Maßnahmen,</w:t>
                            </w:r>
                            <w:r w:rsidR="0055750D">
                              <w:rPr>
                                <w:rFonts w:asciiTheme="majorHAnsi" w:hAnsiTheme="majorHAnsi"/>
                                <w:sz w:val="21"/>
                                <w:szCs w:val="21"/>
                              </w:rPr>
                              <w:br/>
                            </w:r>
                            <w:r w:rsidRPr="001C246F">
                              <w:rPr>
                                <w:rFonts w:asciiTheme="majorHAnsi" w:hAnsiTheme="majorHAnsi"/>
                                <w:sz w:val="21"/>
                                <w:szCs w:val="21"/>
                              </w:rPr>
                              <w:t xml:space="preserve">bei denen keine Begrünung vorgesehen ist. Es bietet Planenden und Ausführenden Entscheidungshilfen für die Auswahl der technisch richtigen und wirtschaftlichsten Bauweisen zur Erzielung eines schnell wirksamen und nachhaltigen Erosionsschutzes. Dazu werden eine Vielzahl von Lösungen vorgestellt als Beispiele möglicher </w:t>
                            </w:r>
                            <w:r w:rsidR="0055750D">
                              <w:rPr>
                                <w:rFonts w:asciiTheme="majorHAnsi" w:hAnsiTheme="majorHAnsi"/>
                                <w:sz w:val="21"/>
                                <w:szCs w:val="21"/>
                              </w:rPr>
                              <w:br/>
                            </w:r>
                            <w:r w:rsidRPr="001C246F">
                              <w:rPr>
                                <w:rFonts w:asciiTheme="majorHAnsi" w:hAnsiTheme="majorHAnsi"/>
                                <w:sz w:val="21"/>
                                <w:szCs w:val="21"/>
                              </w:rPr>
                              <w:t xml:space="preserve">Anwendungen verschiedener Erosionsschutzprodukte und </w:t>
                            </w:r>
                            <w:r w:rsidR="0055750D">
                              <w:rPr>
                                <w:rFonts w:asciiTheme="majorHAnsi" w:hAnsiTheme="majorHAnsi"/>
                                <w:sz w:val="21"/>
                                <w:szCs w:val="21"/>
                              </w:rPr>
                              <w:br/>
                            </w:r>
                            <w:r w:rsidRPr="001C246F">
                              <w:rPr>
                                <w:rFonts w:asciiTheme="majorHAnsi" w:hAnsiTheme="majorHAnsi"/>
                                <w:sz w:val="21"/>
                                <w:szCs w:val="21"/>
                              </w:rPr>
                              <w:t xml:space="preserve">Begrünungshilfen. Im konkreten Einzelfall sind diese Lösungen vor Ort zu überprüfen und anzupassen. </w:t>
                            </w:r>
                            <w:r w:rsidRPr="001C246F">
                              <w:rPr>
                                <w:rFonts w:asciiTheme="majorHAnsi" w:hAnsiTheme="majorHAnsi"/>
                                <w:sz w:val="21"/>
                                <w:szCs w:val="21"/>
                              </w:rPr>
                              <w:br/>
                            </w:r>
                            <w:r w:rsidRPr="001C246F">
                              <w:rPr>
                                <w:rFonts w:asciiTheme="majorHAnsi" w:hAnsiTheme="majorHAnsi"/>
                                <w:sz w:val="21"/>
                                <w:szCs w:val="21"/>
                              </w:rPr>
                              <w:br/>
                              <w:t xml:space="preserve">Das M AEBEL berücksichtigt </w:t>
                            </w:r>
                            <w:proofErr w:type="gramStart"/>
                            <w:r w:rsidRPr="001C246F">
                              <w:rPr>
                                <w:rFonts w:asciiTheme="majorHAnsi" w:hAnsiTheme="majorHAnsi"/>
                                <w:sz w:val="21"/>
                                <w:szCs w:val="21"/>
                              </w:rPr>
                              <w:t>die europäischen und internationalen Normung</w:t>
                            </w:r>
                            <w:proofErr w:type="gramEnd"/>
                            <w:r w:rsidRPr="001C246F">
                              <w:rPr>
                                <w:rFonts w:asciiTheme="majorHAnsi" w:hAnsiTheme="majorHAnsi"/>
                                <w:sz w:val="21"/>
                                <w:szCs w:val="21"/>
                              </w:rPr>
                              <w:t xml:space="preserve"> sowie die Erfahrungen, die mit den beschriebenen </w:t>
                            </w:r>
                            <w:r w:rsidR="0055750D">
                              <w:rPr>
                                <w:rFonts w:asciiTheme="majorHAnsi" w:hAnsiTheme="majorHAnsi"/>
                                <w:sz w:val="21"/>
                                <w:szCs w:val="21"/>
                              </w:rPr>
                              <w:br/>
                            </w:r>
                            <w:r w:rsidRPr="001C246F">
                              <w:rPr>
                                <w:rFonts w:asciiTheme="majorHAnsi" w:hAnsiTheme="majorHAnsi"/>
                                <w:sz w:val="21"/>
                                <w:szCs w:val="21"/>
                              </w:rPr>
                              <w:t xml:space="preserve">Produkten und Bauweisen in den letzten Jahren gesammelt wurden. Es ergänzt das „Merkblatt für einfache landschaftsgerechte </w:t>
                            </w:r>
                            <w:r w:rsidR="0055750D">
                              <w:rPr>
                                <w:rFonts w:asciiTheme="majorHAnsi" w:hAnsiTheme="majorHAnsi"/>
                                <w:sz w:val="21"/>
                                <w:szCs w:val="21"/>
                              </w:rPr>
                              <w:br/>
                            </w:r>
                            <w:r w:rsidRPr="001C246F">
                              <w:rPr>
                                <w:rFonts w:asciiTheme="majorHAnsi" w:hAnsiTheme="majorHAnsi"/>
                                <w:sz w:val="21"/>
                                <w:szCs w:val="21"/>
                              </w:rPr>
                              <w:t xml:space="preserve">Sicherungsbauweisen“, Ausgabe 1991 (FGSV 229) und das „Merkblatt über die Anwendung von Geokunststoffen im Erdbau des Straßenbaus“ (M </w:t>
                            </w:r>
                            <w:proofErr w:type="spellStart"/>
                            <w:r w:rsidRPr="001C246F">
                              <w:rPr>
                                <w:rFonts w:asciiTheme="majorHAnsi" w:hAnsiTheme="majorHAnsi"/>
                                <w:sz w:val="21"/>
                                <w:szCs w:val="21"/>
                              </w:rPr>
                              <w:t>Geok</w:t>
                            </w:r>
                            <w:proofErr w:type="spellEnd"/>
                            <w:r w:rsidRPr="001C246F">
                              <w:rPr>
                                <w:rFonts w:asciiTheme="majorHAnsi" w:hAnsiTheme="majorHAnsi"/>
                                <w:sz w:val="21"/>
                                <w:szCs w:val="21"/>
                              </w:rPr>
                              <w:t xml:space="preserve"> E), Ausgabe 2016 (FGSV 535). Das M AEBEL dient </w:t>
                            </w:r>
                            <w:r w:rsidR="0055750D">
                              <w:rPr>
                                <w:rFonts w:asciiTheme="majorHAnsi" w:hAnsiTheme="majorHAnsi"/>
                                <w:sz w:val="21"/>
                                <w:szCs w:val="21"/>
                              </w:rPr>
                              <w:br/>
                            </w:r>
                            <w:r w:rsidRPr="001C246F">
                              <w:rPr>
                                <w:rFonts w:asciiTheme="majorHAnsi" w:hAnsiTheme="majorHAnsi"/>
                                <w:sz w:val="21"/>
                                <w:szCs w:val="21"/>
                              </w:rPr>
                              <w:t>auch zur Ergänzung und Erläuterung der entsprechenden Abschnitte der „Zusätzlichen Technischen Vertragsbedingungen und Richtlinien für Erdarbeiten im Straßenbau“ (ZTV E-</w:t>
                            </w:r>
                            <w:proofErr w:type="spellStart"/>
                            <w:r w:rsidRPr="001C246F">
                              <w:rPr>
                                <w:rFonts w:asciiTheme="majorHAnsi" w:hAnsiTheme="majorHAnsi"/>
                                <w:sz w:val="21"/>
                                <w:szCs w:val="21"/>
                              </w:rPr>
                              <w:t>StB</w:t>
                            </w:r>
                            <w:proofErr w:type="spellEnd"/>
                            <w:r w:rsidRPr="001C246F">
                              <w:rPr>
                                <w:rFonts w:asciiTheme="majorHAnsi" w:hAnsiTheme="majorHAnsi"/>
                                <w:sz w:val="21"/>
                                <w:szCs w:val="21"/>
                              </w:rPr>
                              <w:t xml:space="preserve">), Ausgabe 2017 </w:t>
                            </w:r>
                            <w:r w:rsidR="0055750D">
                              <w:rPr>
                                <w:rFonts w:asciiTheme="majorHAnsi" w:hAnsiTheme="majorHAnsi"/>
                                <w:sz w:val="21"/>
                                <w:szCs w:val="21"/>
                              </w:rPr>
                              <w:br/>
                            </w:r>
                            <w:r w:rsidRPr="001C246F">
                              <w:rPr>
                                <w:rFonts w:asciiTheme="majorHAnsi" w:hAnsiTheme="majorHAnsi"/>
                                <w:sz w:val="21"/>
                                <w:szCs w:val="21"/>
                              </w:rPr>
                              <w:t>(FGSV 599), in denen die Erosionsschutz- und Begrünungsmaß</w:t>
                            </w:r>
                            <w:r w:rsidR="0055750D">
                              <w:rPr>
                                <w:rFonts w:asciiTheme="majorHAnsi" w:hAnsiTheme="majorHAnsi"/>
                                <w:sz w:val="21"/>
                                <w:szCs w:val="21"/>
                              </w:rPr>
                              <w:t>-</w:t>
                            </w:r>
                            <w:r w:rsidR="0055750D">
                              <w:rPr>
                                <w:rFonts w:asciiTheme="majorHAnsi" w:hAnsiTheme="majorHAnsi"/>
                                <w:sz w:val="21"/>
                                <w:szCs w:val="21"/>
                              </w:rPr>
                              <w:br/>
                            </w:r>
                            <w:r w:rsidRPr="001C246F">
                              <w:rPr>
                                <w:rFonts w:asciiTheme="majorHAnsi" w:hAnsiTheme="majorHAnsi"/>
                                <w:sz w:val="21"/>
                                <w:szCs w:val="21"/>
                              </w:rPr>
                              <w:t>nahmen grundsätzlich geregelt sind.</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" filled="f" stroked="f">
                <v:textbox inset="0,0,,0">
                  <w:txbxContent>
                    <w:p w14:paraId="689678D5" w14:textId="38846E28" w:rsidR="00491F7F" w:rsidRPr="001C246F" w:rsidRDefault="00E658DF" w:rsidP="00491F7F">
                      <w:pPr>
                        <w:pStyle w:val="StandardWeb"/>
                        <w:rPr>
                          <w:rFonts w:asciiTheme="majorHAnsi" w:hAnsiTheme="majorHAnsi" w:cs="Arial"/>
                          <w:sz w:val="21"/>
                          <w:szCs w:val="21"/>
                        </w:rPr>
                      </w:pPr>
                      <w:r w:rsidRPr="001C246F">
                        <w:rPr>
                          <w:rFonts w:asciiTheme="majorHAnsi" w:hAnsiTheme="majorHAnsi" w:cs="Arial"/>
                          <w:sz w:val="21"/>
                          <w:szCs w:val="21"/>
                        </w:rPr>
                        <w:t xml:space="preserve">Die Forschungsgesellschaft für Straßen- und Verkehrswesen (FGSV) hat mit einer Ausgabe </w:t>
                      </w:r>
                      <w:r w:rsidR="00FB13BA" w:rsidRPr="001C246F">
                        <w:rPr>
                          <w:rFonts w:asciiTheme="majorHAnsi" w:hAnsiTheme="majorHAnsi" w:cs="Arial"/>
                          <w:sz w:val="21"/>
                          <w:szCs w:val="21"/>
                        </w:rPr>
                        <w:t>2024</w:t>
                      </w:r>
                      <w:r w:rsidRPr="001C246F">
                        <w:rPr>
                          <w:rFonts w:asciiTheme="majorHAnsi" w:hAnsiTheme="majorHAnsi" w:cs="Arial"/>
                          <w:sz w:val="21"/>
                          <w:szCs w:val="21"/>
                        </w:rPr>
                        <w:t xml:space="preserve"> d</w:t>
                      </w:r>
                      <w:r w:rsidR="009C6FE5" w:rsidRPr="001C246F">
                        <w:rPr>
                          <w:rFonts w:asciiTheme="majorHAnsi" w:hAnsiTheme="majorHAnsi" w:cs="Arial"/>
                          <w:sz w:val="21"/>
                          <w:szCs w:val="21"/>
                        </w:rPr>
                        <w:t>as</w:t>
                      </w:r>
                      <w:r w:rsidRPr="001C246F">
                        <w:rPr>
                          <w:rFonts w:asciiTheme="majorHAnsi" w:hAnsiTheme="majorHAnsi" w:cs="Arial"/>
                          <w:sz w:val="21"/>
                          <w:szCs w:val="21"/>
                        </w:rPr>
                        <w:t xml:space="preserve"> „</w:t>
                      </w:r>
                      <w:r w:rsidR="009C6FE5" w:rsidRPr="001C246F">
                        <w:rPr>
                          <w:rFonts w:asciiTheme="majorHAnsi" w:hAnsiTheme="majorHAnsi" w:cs="Arial"/>
                          <w:sz w:val="21"/>
                          <w:szCs w:val="21"/>
                        </w:rPr>
                        <w:t xml:space="preserve">Merkblatt </w:t>
                      </w:r>
                      <w:r w:rsidR="001C246F" w:rsidRPr="001C246F">
                        <w:rPr>
                          <w:rFonts w:asciiTheme="majorHAnsi" w:hAnsiTheme="majorHAnsi" w:cs="Arial"/>
                          <w:sz w:val="21"/>
                          <w:szCs w:val="21"/>
                        </w:rPr>
                        <w:t>über die Anwendung von Erosionsschutzprodukten und Begrünungshilfen aus natürlichen und synthetischen Materialien im Erd- und Landschaftsbau des Straßenbaus</w:t>
                      </w:r>
                      <w:r w:rsidRPr="001C246F">
                        <w:rPr>
                          <w:rFonts w:asciiTheme="majorHAnsi" w:hAnsiTheme="majorHAnsi" w:cs="Arial"/>
                          <w:sz w:val="21"/>
                          <w:szCs w:val="21"/>
                        </w:rPr>
                        <w:t>" (</w:t>
                      </w:r>
                      <w:r w:rsidR="009C6FE5" w:rsidRPr="001C246F">
                        <w:rPr>
                          <w:rFonts w:asciiTheme="majorHAnsi" w:hAnsiTheme="majorHAnsi" w:cs="Arial"/>
                          <w:sz w:val="21"/>
                          <w:szCs w:val="21"/>
                        </w:rPr>
                        <w:t xml:space="preserve">M </w:t>
                      </w:r>
                      <w:r w:rsidR="001C246F" w:rsidRPr="001C246F">
                        <w:rPr>
                          <w:rFonts w:asciiTheme="majorHAnsi" w:hAnsiTheme="majorHAnsi" w:cs="Arial"/>
                          <w:sz w:val="21"/>
                          <w:szCs w:val="21"/>
                        </w:rPr>
                        <w:t>AEBEL</w:t>
                      </w:r>
                      <w:r w:rsidRPr="001C246F">
                        <w:rPr>
                          <w:rFonts w:asciiTheme="majorHAnsi" w:hAnsiTheme="majorHAnsi" w:cs="Arial"/>
                          <w:sz w:val="21"/>
                          <w:szCs w:val="21"/>
                        </w:rPr>
                        <w:t xml:space="preserve">) herausgegeben. </w:t>
                      </w:r>
                      <w:r w:rsidR="00491F7F" w:rsidRPr="001C246F">
                        <w:rPr>
                          <w:rFonts w:asciiTheme="majorHAnsi" w:hAnsiTheme="majorHAnsi" w:cs="Arial"/>
                          <w:sz w:val="21"/>
                          <w:szCs w:val="21"/>
                        </w:rPr>
                        <w:t xml:space="preserve">Der Bezugspreis ist </w:t>
                      </w:r>
                      <w:r w:rsidR="001C246F" w:rsidRPr="001C246F">
                        <w:rPr>
                          <w:rFonts w:asciiTheme="majorHAnsi" w:hAnsiTheme="majorHAnsi" w:cs="Arial"/>
                          <w:sz w:val="21"/>
                          <w:szCs w:val="21"/>
                        </w:rPr>
                        <w:t>88</w:t>
                      </w:r>
                      <w:r w:rsidR="00491F7F" w:rsidRPr="001C246F">
                        <w:rPr>
                          <w:rFonts w:asciiTheme="majorHAnsi" w:hAnsiTheme="majorHAnsi" w:cs="Arial"/>
                          <w:sz w:val="21"/>
                          <w:szCs w:val="21"/>
                        </w:rPr>
                        <w:t>,</w:t>
                      </w:r>
                      <w:r w:rsidR="001C246F" w:rsidRPr="001C246F">
                        <w:rPr>
                          <w:rFonts w:asciiTheme="majorHAnsi" w:hAnsiTheme="majorHAnsi" w:cs="Arial"/>
                          <w:sz w:val="21"/>
                          <w:szCs w:val="21"/>
                        </w:rPr>
                        <w:t>0</w:t>
                      </w:r>
                      <w:r w:rsidR="00491F7F" w:rsidRPr="001C246F">
                        <w:rPr>
                          <w:rFonts w:asciiTheme="majorHAnsi" w:hAnsiTheme="majorHAnsi" w:cs="Arial"/>
                          <w:sz w:val="21"/>
                          <w:szCs w:val="21"/>
                        </w:rPr>
                        <w:t>0 EUR (FGSV</w:t>
                      </w:r>
                      <w:r w:rsidR="00FB13BA" w:rsidRPr="001C246F">
                        <w:rPr>
                          <w:rFonts w:asciiTheme="majorHAnsi" w:hAnsiTheme="majorHAnsi" w:cs="Arial"/>
                          <w:sz w:val="21"/>
                          <w:szCs w:val="21"/>
                        </w:rPr>
                        <w:t>-</w:t>
                      </w:r>
                      <w:r w:rsidR="00491F7F" w:rsidRPr="001C246F">
                        <w:rPr>
                          <w:rFonts w:asciiTheme="majorHAnsi" w:hAnsiTheme="majorHAnsi" w:cs="Arial"/>
                          <w:sz w:val="21"/>
                          <w:szCs w:val="21"/>
                        </w:rPr>
                        <w:t>Mitglieder</w:t>
                      </w:r>
                      <w:r w:rsidR="00C3467C" w:rsidRPr="001C246F">
                        <w:rPr>
                          <w:rFonts w:asciiTheme="majorHAnsi" w:hAnsiTheme="majorHAnsi" w:cs="Arial"/>
                          <w:sz w:val="21"/>
                          <w:szCs w:val="21"/>
                        </w:rPr>
                        <w:t xml:space="preserve"> </w:t>
                      </w:r>
                      <w:r w:rsidR="00491F7F" w:rsidRPr="001C246F">
                        <w:rPr>
                          <w:rFonts w:asciiTheme="majorHAnsi" w:hAnsiTheme="majorHAnsi" w:cs="Arial"/>
                          <w:sz w:val="21"/>
                          <w:szCs w:val="21"/>
                        </w:rPr>
                        <w:t>erhalten einen</w:t>
                      </w:r>
                      <w:r w:rsidR="001D167E" w:rsidRPr="001C246F">
                        <w:rPr>
                          <w:rFonts w:asciiTheme="majorHAnsi" w:hAnsiTheme="majorHAnsi" w:cs="Arial"/>
                          <w:sz w:val="21"/>
                          <w:szCs w:val="21"/>
                        </w:rPr>
                        <w:t xml:space="preserve"> </w:t>
                      </w:r>
                      <w:r w:rsidR="00491F7F" w:rsidRPr="001C246F">
                        <w:rPr>
                          <w:rFonts w:asciiTheme="majorHAnsi" w:hAnsiTheme="majorHAnsi" w:cs="Arial"/>
                          <w:sz w:val="21"/>
                          <w:szCs w:val="21"/>
                        </w:rPr>
                        <w:t>Rabatt von 30 %).</w:t>
                      </w:r>
                    </w:p>
                    <w:p w14:paraId="6D47BDC9" w14:textId="7FBEA636" w:rsidR="00365687" w:rsidRPr="001C246F" w:rsidRDefault="001C246F" w:rsidP="00777421">
                      <w:pPr>
                        <w:pStyle w:val="StandardWeb"/>
                        <w:rPr>
                          <w:rFonts w:asciiTheme="majorHAnsi" w:hAnsiTheme="majorHAnsi"/>
                          <w:sz w:val="21"/>
                          <w:szCs w:val="21"/>
                        </w:rPr>
                      </w:pPr>
                      <w:r w:rsidRPr="001C246F">
                        <w:rPr>
                          <w:rFonts w:asciiTheme="majorHAnsi" w:hAnsiTheme="majorHAnsi"/>
                          <w:sz w:val="21"/>
                          <w:szCs w:val="21"/>
                        </w:rPr>
                        <w:t xml:space="preserve">Das M AEBEL enthält Angaben über die Anwendungsmöglichkeiten von Erosionsschutzprodukten und Begrünungshilfen aus natürlichen und synthetischen Materialien im Erd- und Landschaftsbau des </w:t>
                      </w:r>
                      <w:r>
                        <w:rPr>
                          <w:rFonts w:asciiTheme="majorHAnsi" w:hAnsiTheme="majorHAnsi"/>
                          <w:sz w:val="21"/>
                          <w:szCs w:val="21"/>
                        </w:rPr>
                        <w:br/>
                      </w:r>
                      <w:r w:rsidRPr="001C246F">
                        <w:rPr>
                          <w:rFonts w:asciiTheme="majorHAnsi" w:hAnsiTheme="majorHAnsi"/>
                          <w:sz w:val="21"/>
                          <w:szCs w:val="21"/>
                        </w:rPr>
                        <w:t>Straßenbaus. Anwendungsgebiete sind der Schutz und die Be</w:t>
                      </w:r>
                      <w:r>
                        <w:rPr>
                          <w:rFonts w:asciiTheme="majorHAnsi" w:hAnsiTheme="majorHAnsi"/>
                          <w:sz w:val="21"/>
                          <w:szCs w:val="21"/>
                        </w:rPr>
                        <w:t>-</w:t>
                      </w:r>
                      <w:r>
                        <w:rPr>
                          <w:rFonts w:asciiTheme="majorHAnsi" w:hAnsiTheme="majorHAnsi"/>
                          <w:sz w:val="21"/>
                          <w:szCs w:val="21"/>
                        </w:rPr>
                        <w:br/>
                      </w:r>
                      <w:proofErr w:type="spellStart"/>
                      <w:r w:rsidRPr="001C246F">
                        <w:rPr>
                          <w:rFonts w:asciiTheme="majorHAnsi" w:hAnsiTheme="majorHAnsi"/>
                          <w:sz w:val="21"/>
                          <w:szCs w:val="21"/>
                        </w:rPr>
                        <w:t>grünung</w:t>
                      </w:r>
                      <w:proofErr w:type="spellEnd"/>
                      <w:r w:rsidRPr="001C246F">
                        <w:rPr>
                          <w:rFonts w:asciiTheme="majorHAnsi" w:hAnsiTheme="majorHAnsi"/>
                          <w:sz w:val="21"/>
                          <w:szCs w:val="21"/>
                        </w:rPr>
                        <w:t xml:space="preserve"> von z. B. Böschungen und periodisch wasserführenden </w:t>
                      </w:r>
                      <w:r>
                        <w:rPr>
                          <w:rFonts w:asciiTheme="majorHAnsi" w:hAnsiTheme="majorHAnsi"/>
                          <w:sz w:val="21"/>
                          <w:szCs w:val="21"/>
                        </w:rPr>
                        <w:br/>
                      </w:r>
                      <w:r w:rsidRPr="001C246F">
                        <w:rPr>
                          <w:rFonts w:asciiTheme="majorHAnsi" w:hAnsiTheme="majorHAnsi"/>
                          <w:sz w:val="21"/>
                          <w:szCs w:val="21"/>
                        </w:rPr>
                        <w:t xml:space="preserve">Entwässerungseinrichtungen. Das Merkblatt konzentriert sich auf die oberflächlichen Prozesse der Bodenerosion (Oberflächenerosion), die im Wesentlichen durch Wasser, zum Teil auch durch Wind verursacht werden. Diese Prozesse beziehen sich auf den obersten Bodenhorizont. </w:t>
                      </w:r>
                      <w:r w:rsidRPr="001C246F">
                        <w:rPr>
                          <w:rFonts w:asciiTheme="majorHAnsi" w:hAnsiTheme="majorHAnsi"/>
                          <w:sz w:val="21"/>
                          <w:szCs w:val="21"/>
                        </w:rPr>
                        <w:br/>
                      </w:r>
                      <w:r w:rsidRPr="001C246F">
                        <w:rPr>
                          <w:rFonts w:asciiTheme="majorHAnsi" w:hAnsiTheme="majorHAnsi"/>
                          <w:sz w:val="21"/>
                          <w:szCs w:val="21"/>
                        </w:rPr>
                        <w:br/>
                        <w:t xml:space="preserve">Das M AEBEL gibt Hinweise für Planung, Bau, Unterhaltung und </w:t>
                      </w:r>
                      <w:r w:rsidR="0055750D">
                        <w:rPr>
                          <w:rFonts w:asciiTheme="majorHAnsi" w:hAnsiTheme="majorHAnsi"/>
                          <w:sz w:val="21"/>
                          <w:szCs w:val="21"/>
                        </w:rPr>
                        <w:br/>
                      </w:r>
                      <w:r w:rsidRPr="001C246F">
                        <w:rPr>
                          <w:rFonts w:asciiTheme="majorHAnsi" w:hAnsiTheme="majorHAnsi"/>
                          <w:sz w:val="21"/>
                          <w:szCs w:val="21"/>
                        </w:rPr>
                        <w:t>Sanierung eines funktionsgerechten Erosionsschutzes mit standort</w:t>
                      </w:r>
                      <w:r w:rsidR="0055750D">
                        <w:rPr>
                          <w:rFonts w:asciiTheme="majorHAnsi" w:hAnsiTheme="majorHAnsi"/>
                          <w:sz w:val="21"/>
                          <w:szCs w:val="21"/>
                        </w:rPr>
                        <w:t>-</w:t>
                      </w:r>
                      <w:r w:rsidRPr="001C246F">
                        <w:rPr>
                          <w:rFonts w:asciiTheme="majorHAnsi" w:hAnsiTheme="majorHAnsi"/>
                          <w:sz w:val="21"/>
                          <w:szCs w:val="21"/>
                        </w:rPr>
                        <w:t xml:space="preserve">gerechter Begrünung im Straßenbau bei Anwendung von Erosionsschutzprodukten und Begrünungshilfen aus natürlichen und </w:t>
                      </w:r>
                      <w:r w:rsidR="0055750D">
                        <w:rPr>
                          <w:rFonts w:asciiTheme="majorHAnsi" w:hAnsiTheme="majorHAnsi"/>
                          <w:sz w:val="21"/>
                          <w:szCs w:val="21"/>
                        </w:rPr>
                        <w:br/>
                      </w:r>
                      <w:r w:rsidRPr="001C246F">
                        <w:rPr>
                          <w:rFonts w:asciiTheme="majorHAnsi" w:hAnsiTheme="majorHAnsi"/>
                          <w:sz w:val="21"/>
                          <w:szCs w:val="21"/>
                        </w:rPr>
                        <w:t>synthetischen Materialien. Das M AEBEL gilt auch für Maßnahmen,</w:t>
                      </w:r>
                      <w:r w:rsidR="0055750D">
                        <w:rPr>
                          <w:rFonts w:asciiTheme="majorHAnsi" w:hAnsiTheme="majorHAnsi"/>
                          <w:sz w:val="21"/>
                          <w:szCs w:val="21"/>
                        </w:rPr>
                        <w:br/>
                      </w:r>
                      <w:r w:rsidRPr="001C246F">
                        <w:rPr>
                          <w:rFonts w:asciiTheme="majorHAnsi" w:hAnsiTheme="majorHAnsi"/>
                          <w:sz w:val="21"/>
                          <w:szCs w:val="21"/>
                        </w:rPr>
                        <w:t xml:space="preserve">bei denen keine Begrünung vorgesehen ist. Es bietet Planenden und Ausführenden Entscheidungshilfen für die Auswahl der technisch richtigen und wirtschaftlichsten Bauweisen zur Erzielung eines schnell wirksamen und nachhaltigen Erosionsschutzes. Dazu werden eine Vielzahl von Lösungen vorgestellt als Beispiele möglicher </w:t>
                      </w:r>
                      <w:r w:rsidR="0055750D">
                        <w:rPr>
                          <w:rFonts w:asciiTheme="majorHAnsi" w:hAnsiTheme="majorHAnsi"/>
                          <w:sz w:val="21"/>
                          <w:szCs w:val="21"/>
                        </w:rPr>
                        <w:br/>
                      </w:r>
                      <w:r w:rsidRPr="001C246F">
                        <w:rPr>
                          <w:rFonts w:asciiTheme="majorHAnsi" w:hAnsiTheme="majorHAnsi"/>
                          <w:sz w:val="21"/>
                          <w:szCs w:val="21"/>
                        </w:rPr>
                        <w:t xml:space="preserve">Anwendungen verschiedener Erosionsschutzprodukte und </w:t>
                      </w:r>
                      <w:r w:rsidR="0055750D">
                        <w:rPr>
                          <w:rFonts w:asciiTheme="majorHAnsi" w:hAnsiTheme="majorHAnsi"/>
                          <w:sz w:val="21"/>
                          <w:szCs w:val="21"/>
                        </w:rPr>
                        <w:br/>
                      </w:r>
                      <w:r w:rsidRPr="001C246F">
                        <w:rPr>
                          <w:rFonts w:asciiTheme="majorHAnsi" w:hAnsiTheme="majorHAnsi"/>
                          <w:sz w:val="21"/>
                          <w:szCs w:val="21"/>
                        </w:rPr>
                        <w:t xml:space="preserve">Begrünungshilfen. Im konkreten Einzelfall sind diese Lösungen vor Ort zu überprüfen und anzupassen. </w:t>
                      </w:r>
                      <w:r w:rsidRPr="001C246F">
                        <w:rPr>
                          <w:rFonts w:asciiTheme="majorHAnsi" w:hAnsiTheme="majorHAnsi"/>
                          <w:sz w:val="21"/>
                          <w:szCs w:val="21"/>
                        </w:rPr>
                        <w:br/>
                      </w:r>
                      <w:r w:rsidRPr="001C246F">
                        <w:rPr>
                          <w:rFonts w:asciiTheme="majorHAnsi" w:hAnsiTheme="majorHAnsi"/>
                          <w:sz w:val="21"/>
                          <w:szCs w:val="21"/>
                        </w:rPr>
                        <w:br/>
                        <w:t xml:space="preserve">Das M AEBEL berücksichtigt </w:t>
                      </w:r>
                      <w:proofErr w:type="gramStart"/>
                      <w:r w:rsidRPr="001C246F">
                        <w:rPr>
                          <w:rFonts w:asciiTheme="majorHAnsi" w:hAnsiTheme="majorHAnsi"/>
                          <w:sz w:val="21"/>
                          <w:szCs w:val="21"/>
                        </w:rPr>
                        <w:t>die europäischen und internationalen Normung</w:t>
                      </w:r>
                      <w:proofErr w:type="gramEnd"/>
                      <w:r w:rsidRPr="001C246F">
                        <w:rPr>
                          <w:rFonts w:asciiTheme="majorHAnsi" w:hAnsiTheme="majorHAnsi"/>
                          <w:sz w:val="21"/>
                          <w:szCs w:val="21"/>
                        </w:rPr>
                        <w:t xml:space="preserve"> sowie die Erfahrungen, die mit den beschriebenen </w:t>
                      </w:r>
                      <w:r w:rsidR="0055750D">
                        <w:rPr>
                          <w:rFonts w:asciiTheme="majorHAnsi" w:hAnsiTheme="majorHAnsi"/>
                          <w:sz w:val="21"/>
                          <w:szCs w:val="21"/>
                        </w:rPr>
                        <w:br/>
                      </w:r>
                      <w:r w:rsidRPr="001C246F">
                        <w:rPr>
                          <w:rFonts w:asciiTheme="majorHAnsi" w:hAnsiTheme="majorHAnsi"/>
                          <w:sz w:val="21"/>
                          <w:szCs w:val="21"/>
                        </w:rPr>
                        <w:t xml:space="preserve">Produkten und Bauweisen in den letzten Jahren gesammelt wurden. Es ergänzt das „Merkblatt für einfache landschaftsgerechte </w:t>
                      </w:r>
                      <w:r w:rsidR="0055750D">
                        <w:rPr>
                          <w:rFonts w:asciiTheme="majorHAnsi" w:hAnsiTheme="majorHAnsi"/>
                          <w:sz w:val="21"/>
                          <w:szCs w:val="21"/>
                        </w:rPr>
                        <w:br/>
                      </w:r>
                      <w:r w:rsidRPr="001C246F">
                        <w:rPr>
                          <w:rFonts w:asciiTheme="majorHAnsi" w:hAnsiTheme="majorHAnsi"/>
                          <w:sz w:val="21"/>
                          <w:szCs w:val="21"/>
                        </w:rPr>
                        <w:t xml:space="preserve">Sicherungsbauweisen“, Ausgabe 1991 (FGSV 229) und das „Merkblatt über die Anwendung von Geokunststoffen im Erdbau des Straßenbaus“ (M </w:t>
                      </w:r>
                      <w:proofErr w:type="spellStart"/>
                      <w:r w:rsidRPr="001C246F">
                        <w:rPr>
                          <w:rFonts w:asciiTheme="majorHAnsi" w:hAnsiTheme="majorHAnsi"/>
                          <w:sz w:val="21"/>
                          <w:szCs w:val="21"/>
                        </w:rPr>
                        <w:t>Geok</w:t>
                      </w:r>
                      <w:proofErr w:type="spellEnd"/>
                      <w:r w:rsidRPr="001C246F">
                        <w:rPr>
                          <w:rFonts w:asciiTheme="majorHAnsi" w:hAnsiTheme="majorHAnsi"/>
                          <w:sz w:val="21"/>
                          <w:szCs w:val="21"/>
                        </w:rPr>
                        <w:t xml:space="preserve"> E), Ausgabe 2016 (FGSV 535). Das M AEBEL dient </w:t>
                      </w:r>
                      <w:r w:rsidR="0055750D">
                        <w:rPr>
                          <w:rFonts w:asciiTheme="majorHAnsi" w:hAnsiTheme="majorHAnsi"/>
                          <w:sz w:val="21"/>
                          <w:szCs w:val="21"/>
                        </w:rPr>
                        <w:br/>
                      </w:r>
                      <w:r w:rsidRPr="001C246F">
                        <w:rPr>
                          <w:rFonts w:asciiTheme="majorHAnsi" w:hAnsiTheme="majorHAnsi"/>
                          <w:sz w:val="21"/>
                          <w:szCs w:val="21"/>
                        </w:rPr>
                        <w:t>auch zur Ergänzung und Erläuterung der entsprechenden Abschnitte der „Zusätzlichen Technischen Vertragsbedingungen und Richtlinien für Erdarbeiten im Straßenbau“ (ZTV E-</w:t>
                      </w:r>
                      <w:proofErr w:type="spellStart"/>
                      <w:r w:rsidRPr="001C246F">
                        <w:rPr>
                          <w:rFonts w:asciiTheme="majorHAnsi" w:hAnsiTheme="majorHAnsi"/>
                          <w:sz w:val="21"/>
                          <w:szCs w:val="21"/>
                        </w:rPr>
                        <w:t>StB</w:t>
                      </w:r>
                      <w:proofErr w:type="spellEnd"/>
                      <w:r w:rsidRPr="001C246F">
                        <w:rPr>
                          <w:rFonts w:asciiTheme="majorHAnsi" w:hAnsiTheme="majorHAnsi"/>
                          <w:sz w:val="21"/>
                          <w:szCs w:val="21"/>
                        </w:rPr>
                        <w:t xml:space="preserve">), Ausgabe 2017 </w:t>
                      </w:r>
                      <w:r w:rsidR="0055750D">
                        <w:rPr>
                          <w:rFonts w:asciiTheme="majorHAnsi" w:hAnsiTheme="majorHAnsi"/>
                          <w:sz w:val="21"/>
                          <w:szCs w:val="21"/>
                        </w:rPr>
                        <w:br/>
                      </w:r>
                      <w:r w:rsidRPr="001C246F">
                        <w:rPr>
                          <w:rFonts w:asciiTheme="majorHAnsi" w:hAnsiTheme="majorHAnsi"/>
                          <w:sz w:val="21"/>
                          <w:szCs w:val="21"/>
                        </w:rPr>
                        <w:t>(FGSV 599), in denen die Erosionsschutz- und Begrünungsmaß</w:t>
                      </w:r>
                      <w:r w:rsidR="0055750D">
                        <w:rPr>
                          <w:rFonts w:asciiTheme="majorHAnsi" w:hAnsiTheme="majorHAnsi"/>
                          <w:sz w:val="21"/>
                          <w:szCs w:val="21"/>
                        </w:rPr>
                        <w:t>-</w:t>
                      </w:r>
                      <w:r w:rsidR="0055750D">
                        <w:rPr>
                          <w:rFonts w:asciiTheme="majorHAnsi" w:hAnsiTheme="majorHAnsi"/>
                          <w:sz w:val="21"/>
                          <w:szCs w:val="21"/>
                        </w:rPr>
                        <w:br/>
                      </w:r>
                      <w:r w:rsidRPr="001C246F">
                        <w:rPr>
                          <w:rFonts w:asciiTheme="majorHAnsi" w:hAnsiTheme="majorHAnsi"/>
                          <w:sz w:val="21"/>
                          <w:szCs w:val="21"/>
                        </w:rPr>
                        <w:t>nahmen grundsätzlich geregelt sind.</w:t>
                      </w: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CEE805E">
                <wp:simplePos x="0" y="0"/>
                <wp:positionH relativeFrom="page">
                  <wp:posOffset>323850</wp:posOffset>
                </wp:positionH>
                <wp:positionV relativeFrom="page">
                  <wp:posOffset>6198870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484B5451">
                <wp:simplePos x="0" y="0"/>
                <wp:positionH relativeFrom="page">
                  <wp:posOffset>342900</wp:posOffset>
                </wp:positionH>
                <wp:positionV relativeFrom="page">
                  <wp:posOffset>3360420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107FEC07" w:rsidR="00491F7F" w:rsidRPr="00386479" w:rsidRDefault="00ED2892" w:rsidP="00491F7F">
                            <w:pPr>
                              <w:pStyle w:val="berschrift1"/>
                              <w:rPr>
                                <w:rFonts w:ascii="DIN Pro" w:hAnsi="DIN Pro" w:cs="Helvetica"/>
                                <w:sz w:val="24"/>
                                <w:szCs w:val="24"/>
                              </w:rPr>
                            </w:pPr>
                            <w:r>
                              <w:rPr>
                                <w:rFonts w:ascii="DIN Pro" w:hAnsi="DIN Pro" w:cs="Helvetica"/>
                                <w:sz w:val="24"/>
                                <w:szCs w:val="24"/>
                              </w:rPr>
                              <w:t xml:space="preserve">M </w:t>
                            </w:r>
                            <w:r w:rsidR="00E56A4E">
                              <w:rPr>
                                <w:rFonts w:ascii="DIN Pro" w:hAnsi="DIN Pro" w:cs="Helvetica"/>
                                <w:sz w:val="24"/>
                                <w:szCs w:val="24"/>
                              </w:rPr>
                              <w:t>AEBEL</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2D1AEA20" w:rsidR="00491F7F" w:rsidRPr="00715586" w:rsidRDefault="00E56A4E"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ED2892">
                              <w:rPr>
                                <w:rStyle w:val="InhaltsverzeichnisNummerZeichen"/>
                                <w:rFonts w:ascii="DIN Pro" w:hAnsi="DIN Pro" w:cs="Helvetica"/>
                                <w:color w:val="auto"/>
                                <w:sz w:val="20"/>
                                <w:szCs w:val="20"/>
                              </w:rPr>
                              <w:t>52</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sidR="00ED2892">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88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0</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191106C1"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56A4E">
                              <w:rPr>
                                <w:rStyle w:val="InhaltsverzeichnisNummerZeichen"/>
                                <w:rFonts w:ascii="DIN Pro" w:hAnsi="DIN Pro" w:cs="Helvetica"/>
                                <w:color w:val="auto"/>
                                <w:sz w:val="20"/>
                                <w:szCs w:val="20"/>
                              </w:rPr>
                              <w:t>525</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4.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" filled="f" stroked="f" strokecolor="#c30">
                <v:textbox>
                  <w:txbxContent>
                    <w:p w14:paraId="069F1778" w14:textId="107FEC07" w:rsidR="00491F7F" w:rsidRPr="00386479" w:rsidRDefault="00ED2892" w:rsidP="00491F7F">
                      <w:pPr>
                        <w:pStyle w:val="berschrift1"/>
                        <w:rPr>
                          <w:rFonts w:ascii="DIN Pro" w:hAnsi="DIN Pro" w:cs="Helvetica"/>
                          <w:sz w:val="24"/>
                          <w:szCs w:val="24"/>
                        </w:rPr>
                      </w:pPr>
                      <w:r>
                        <w:rPr>
                          <w:rFonts w:ascii="DIN Pro" w:hAnsi="DIN Pro" w:cs="Helvetica"/>
                          <w:sz w:val="24"/>
                          <w:szCs w:val="24"/>
                        </w:rPr>
                        <w:t xml:space="preserve">M </w:t>
                      </w:r>
                      <w:r w:rsidR="00E56A4E">
                        <w:rPr>
                          <w:rFonts w:ascii="DIN Pro" w:hAnsi="DIN Pro" w:cs="Helvetica"/>
                          <w:sz w:val="24"/>
                          <w:szCs w:val="24"/>
                        </w:rPr>
                        <w:t>AEBEL</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2D1AEA20" w:rsidR="00491F7F" w:rsidRPr="00715586" w:rsidRDefault="00E56A4E"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ED2892">
                        <w:rPr>
                          <w:rStyle w:val="InhaltsverzeichnisNummerZeichen"/>
                          <w:rFonts w:ascii="DIN Pro" w:hAnsi="DIN Pro" w:cs="Helvetica"/>
                          <w:color w:val="auto"/>
                          <w:sz w:val="20"/>
                          <w:szCs w:val="20"/>
                        </w:rPr>
                        <w:t>52</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sidR="00ED2892">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88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0</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191106C1"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56A4E">
                        <w:rPr>
                          <w:rStyle w:val="InhaltsverzeichnisNummerZeichen"/>
                          <w:rFonts w:ascii="DIN Pro" w:hAnsi="DIN Pro" w:cs="Helvetica"/>
                          <w:color w:val="auto"/>
                          <w:sz w:val="20"/>
                          <w:szCs w:val="20"/>
                        </w:rPr>
                        <w:t>525</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42A4D34F">
                <wp:simplePos x="0" y="0"/>
                <wp:positionH relativeFrom="page">
                  <wp:posOffset>457200</wp:posOffset>
                </wp:positionH>
                <wp:positionV relativeFrom="page">
                  <wp:posOffset>8218170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47.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77F3D44A">
                <wp:simplePos x="0" y="0"/>
                <wp:positionH relativeFrom="page">
                  <wp:posOffset>2971800</wp:posOffset>
                </wp:positionH>
                <wp:positionV relativeFrom="page">
                  <wp:posOffset>2438400</wp:posOffset>
                </wp:positionV>
                <wp:extent cx="4105275" cy="11049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1F2AE2C0" w:rsidR="00491F7F" w:rsidRPr="00E56A4E" w:rsidRDefault="002D39D4" w:rsidP="00491F7F">
                            <w:pPr>
                              <w:pStyle w:val="berschrift1"/>
                              <w:rPr>
                                <w:rFonts w:ascii="DIN Pro" w:hAnsi="DIN Pro"/>
                                <w:color w:val="31849B" w:themeColor="accent5" w:themeShade="BF"/>
                                <w:sz w:val="24"/>
                                <w:szCs w:val="24"/>
                              </w:rPr>
                            </w:pPr>
                            <w:r w:rsidRPr="00E56A4E">
                              <w:rPr>
                                <w:rFonts w:ascii="DIN Pro" w:hAnsi="DIN Pro"/>
                                <w:color w:val="31849B" w:themeColor="accent5" w:themeShade="BF"/>
                                <w:sz w:val="24"/>
                                <w:szCs w:val="24"/>
                              </w:rPr>
                              <w:t xml:space="preserve">M </w:t>
                            </w:r>
                            <w:r w:rsidR="00E56A4E" w:rsidRPr="00E56A4E">
                              <w:rPr>
                                <w:rFonts w:ascii="DIN Pro" w:hAnsi="DIN Pro"/>
                                <w:color w:val="31849B" w:themeColor="accent5" w:themeShade="BF"/>
                                <w:sz w:val="24"/>
                                <w:szCs w:val="24"/>
                              </w:rPr>
                              <w:t>AEBEL</w:t>
                            </w:r>
                            <w:r w:rsidR="00491F7F" w:rsidRPr="00E56A4E">
                              <w:rPr>
                                <w:rFonts w:ascii="DIN Pro" w:hAnsi="DIN Pro"/>
                                <w:color w:val="31849B" w:themeColor="accent5" w:themeShade="BF"/>
                                <w:sz w:val="24"/>
                                <w:szCs w:val="24"/>
                              </w:rPr>
                              <w:t xml:space="preserve"> – </w:t>
                            </w:r>
                            <w:r w:rsidR="00E56A4E" w:rsidRPr="00E56A4E">
                              <w:rPr>
                                <w:rFonts w:ascii="DIN Pro" w:hAnsi="DIN Pro"/>
                                <w:sz w:val="24"/>
                                <w:szCs w:val="24"/>
                              </w:rPr>
                              <w:t>Merkblatt über die Anwendung von Erosionsschutzprodukten und Begrünungshilfen aus natürlichen und synthetischen Materialien im Erd-</w:t>
                            </w:r>
                            <w:r w:rsidR="00E56A4E">
                              <w:rPr>
                                <w:rFonts w:ascii="DIN Pro" w:hAnsi="DIN Pro"/>
                                <w:sz w:val="24"/>
                                <w:szCs w:val="24"/>
                              </w:rPr>
                              <w:t xml:space="preserve"> </w:t>
                            </w:r>
                            <w:r w:rsidR="00E56A4E" w:rsidRPr="00E56A4E">
                              <w:rPr>
                                <w:rFonts w:ascii="DIN Pro" w:hAnsi="DIN Pro"/>
                                <w:sz w:val="24"/>
                                <w:szCs w:val="24"/>
                              </w:rPr>
                              <w:t>und Landschaftsbau des Straßenbaus</w:t>
                            </w:r>
                            <w:r w:rsidR="00E56A4E">
                              <w:rPr>
                                <w:rFonts w:ascii="DIN Pro" w:hAnsi="DIN Pro"/>
                                <w:color w:val="31849B" w:themeColor="accent5" w:themeShade="BF"/>
                                <w:sz w:val="24"/>
                                <w:szCs w:val="24"/>
                              </w:rPr>
                              <w:t xml:space="preserve">, </w:t>
                            </w:r>
                            <w:r w:rsidR="00561DA8" w:rsidRPr="00E56A4E">
                              <w:rPr>
                                <w:rFonts w:ascii="DIN Pro" w:hAnsi="DIN Pro"/>
                                <w:color w:val="31849B" w:themeColor="accent5" w:themeShade="BF"/>
                                <w:sz w:val="24"/>
                                <w:szCs w:val="24"/>
                              </w:rPr>
                              <w:t xml:space="preserve">Ausgabe </w:t>
                            </w:r>
                            <w:r w:rsidRPr="00E56A4E">
                              <w:rPr>
                                <w:rFonts w:ascii="DIN Pro" w:hAnsi="DIN Pro"/>
                                <w:color w:val="31849B" w:themeColor="accent5" w:themeShade="BF"/>
                                <w:sz w:val="24"/>
                                <w:szCs w:val="24"/>
                              </w:rPr>
                              <w:t>2024</w:t>
                            </w:r>
                          </w:p>
                          <w:p w14:paraId="1F103DB7" w14:textId="77777777" w:rsidR="00491F7F" w:rsidRPr="00E56A4E" w:rsidRDefault="00491F7F" w:rsidP="00491F7F">
                            <w:pPr>
                              <w:pStyle w:val="berschrift1"/>
                              <w:rPr>
                                <w:rFonts w:ascii="DIN Pro" w:hAnsi="DIN Pro" w:cs="Helvetica"/>
                                <w:sz w:val="24"/>
                                <w:szCs w:val="24"/>
                              </w:rPr>
                            </w:pPr>
                          </w:p>
                          <w:p w14:paraId="4D1C602F" w14:textId="77777777" w:rsidR="00491F7F" w:rsidRPr="00E56A4E" w:rsidRDefault="00491F7F" w:rsidP="00491F7F">
                            <w:pPr>
                              <w:pStyle w:val="berschrift1"/>
                              <w:rPr>
                                <w:rFonts w:ascii="DIN Pro" w:hAnsi="DIN Pro" w:cs="Helvetica"/>
                                <w:sz w:val="24"/>
                                <w:szCs w:val="24"/>
                              </w:rPr>
                            </w:pPr>
                          </w:p>
                          <w:p w14:paraId="043AA9C2" w14:textId="77777777" w:rsidR="00854188" w:rsidRPr="00E56A4E" w:rsidRDefault="00854188" w:rsidP="00010F61">
                            <w:pPr>
                              <w:pStyle w:val="berschrift1"/>
                              <w:rPr>
                                <w:rFonts w:ascii="DIN Pro" w:hAnsi="DIN Pro"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92pt;width:323.25pt;height:8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" filled="f" stroked="f">
                <v:textbox inset="0,0,0,0">
                  <w:txbxContent>
                    <w:p w14:paraId="661A6E8E" w14:textId="1F2AE2C0" w:rsidR="00491F7F" w:rsidRPr="00E56A4E" w:rsidRDefault="002D39D4" w:rsidP="00491F7F">
                      <w:pPr>
                        <w:pStyle w:val="berschrift1"/>
                        <w:rPr>
                          <w:rFonts w:ascii="DIN Pro" w:hAnsi="DIN Pro"/>
                          <w:color w:val="31849B" w:themeColor="accent5" w:themeShade="BF"/>
                          <w:sz w:val="24"/>
                          <w:szCs w:val="24"/>
                        </w:rPr>
                      </w:pPr>
                      <w:r w:rsidRPr="00E56A4E">
                        <w:rPr>
                          <w:rFonts w:ascii="DIN Pro" w:hAnsi="DIN Pro"/>
                          <w:color w:val="31849B" w:themeColor="accent5" w:themeShade="BF"/>
                          <w:sz w:val="24"/>
                          <w:szCs w:val="24"/>
                        </w:rPr>
                        <w:t xml:space="preserve">M </w:t>
                      </w:r>
                      <w:r w:rsidR="00E56A4E" w:rsidRPr="00E56A4E">
                        <w:rPr>
                          <w:rFonts w:ascii="DIN Pro" w:hAnsi="DIN Pro"/>
                          <w:color w:val="31849B" w:themeColor="accent5" w:themeShade="BF"/>
                          <w:sz w:val="24"/>
                          <w:szCs w:val="24"/>
                        </w:rPr>
                        <w:t>AEBEL</w:t>
                      </w:r>
                      <w:r w:rsidR="00491F7F" w:rsidRPr="00E56A4E">
                        <w:rPr>
                          <w:rFonts w:ascii="DIN Pro" w:hAnsi="DIN Pro"/>
                          <w:color w:val="31849B" w:themeColor="accent5" w:themeShade="BF"/>
                          <w:sz w:val="24"/>
                          <w:szCs w:val="24"/>
                        </w:rPr>
                        <w:t xml:space="preserve"> – </w:t>
                      </w:r>
                      <w:r w:rsidR="00E56A4E" w:rsidRPr="00E56A4E">
                        <w:rPr>
                          <w:rFonts w:ascii="DIN Pro" w:hAnsi="DIN Pro"/>
                          <w:sz w:val="24"/>
                          <w:szCs w:val="24"/>
                        </w:rPr>
                        <w:t>Merkblatt über die Anwendung von Erosionsschutzprodukten und Begrünungshilfen aus natürlichen und synthetischen Materialien im Erd-</w:t>
                      </w:r>
                      <w:r w:rsidR="00E56A4E">
                        <w:rPr>
                          <w:rFonts w:ascii="DIN Pro" w:hAnsi="DIN Pro"/>
                          <w:sz w:val="24"/>
                          <w:szCs w:val="24"/>
                        </w:rPr>
                        <w:t xml:space="preserve"> </w:t>
                      </w:r>
                      <w:r w:rsidR="00E56A4E" w:rsidRPr="00E56A4E">
                        <w:rPr>
                          <w:rFonts w:ascii="DIN Pro" w:hAnsi="DIN Pro"/>
                          <w:sz w:val="24"/>
                          <w:szCs w:val="24"/>
                        </w:rPr>
                        <w:t>und Landschaftsbau des Straßenbaus</w:t>
                      </w:r>
                      <w:r w:rsidR="00E56A4E">
                        <w:rPr>
                          <w:rFonts w:ascii="DIN Pro" w:hAnsi="DIN Pro"/>
                          <w:color w:val="31849B" w:themeColor="accent5" w:themeShade="BF"/>
                          <w:sz w:val="24"/>
                          <w:szCs w:val="24"/>
                        </w:rPr>
                        <w:t xml:space="preserve">, </w:t>
                      </w:r>
                      <w:r w:rsidR="00561DA8" w:rsidRPr="00E56A4E">
                        <w:rPr>
                          <w:rFonts w:ascii="DIN Pro" w:hAnsi="DIN Pro"/>
                          <w:color w:val="31849B" w:themeColor="accent5" w:themeShade="BF"/>
                          <w:sz w:val="24"/>
                          <w:szCs w:val="24"/>
                        </w:rPr>
                        <w:t xml:space="preserve">Ausgabe </w:t>
                      </w:r>
                      <w:r w:rsidRPr="00E56A4E">
                        <w:rPr>
                          <w:rFonts w:ascii="DIN Pro" w:hAnsi="DIN Pro"/>
                          <w:color w:val="31849B" w:themeColor="accent5" w:themeShade="BF"/>
                          <w:sz w:val="24"/>
                          <w:szCs w:val="24"/>
                        </w:rPr>
                        <w:t>2024</w:t>
                      </w:r>
                    </w:p>
                    <w:p w14:paraId="1F103DB7" w14:textId="77777777" w:rsidR="00491F7F" w:rsidRPr="00E56A4E" w:rsidRDefault="00491F7F" w:rsidP="00491F7F">
                      <w:pPr>
                        <w:pStyle w:val="berschrift1"/>
                        <w:rPr>
                          <w:rFonts w:ascii="DIN Pro" w:hAnsi="DIN Pro" w:cs="Helvetica"/>
                          <w:sz w:val="24"/>
                          <w:szCs w:val="24"/>
                        </w:rPr>
                      </w:pPr>
                    </w:p>
                    <w:p w14:paraId="4D1C602F" w14:textId="77777777" w:rsidR="00491F7F" w:rsidRPr="00E56A4E" w:rsidRDefault="00491F7F" w:rsidP="00491F7F">
                      <w:pPr>
                        <w:pStyle w:val="berschrift1"/>
                        <w:rPr>
                          <w:rFonts w:ascii="DIN Pro" w:hAnsi="DIN Pro" w:cs="Helvetica"/>
                          <w:sz w:val="24"/>
                          <w:szCs w:val="24"/>
                        </w:rPr>
                      </w:pPr>
                    </w:p>
                    <w:p w14:paraId="043AA9C2" w14:textId="77777777" w:rsidR="00854188" w:rsidRPr="00E56A4E" w:rsidRDefault="00854188" w:rsidP="00010F61">
                      <w:pPr>
                        <w:pStyle w:val="berschrift1"/>
                        <w:rPr>
                          <w:rFonts w:ascii="DIN Pro" w:hAnsi="DIN Pro"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60241D08">
                <wp:simplePos x="0" y="0"/>
                <wp:positionH relativeFrom="page">
                  <wp:posOffset>352425</wp:posOffset>
                </wp:positionH>
                <wp:positionV relativeFrom="page">
                  <wp:posOffset>2465070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BD4430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56A4E">
                              <w:rPr>
                                <w:rFonts w:ascii="DIN Pro" w:hAnsi="DIN Pro"/>
                                <w:sz w:val="20"/>
                                <w:szCs w:val="20"/>
                              </w:rPr>
                              <w:t>04</w:t>
                            </w:r>
                            <w:r w:rsidR="002F3CDF" w:rsidRPr="00092F03">
                              <w:rPr>
                                <w:rFonts w:ascii="DIN Pro" w:hAnsi="DIN Pro"/>
                                <w:sz w:val="20"/>
                                <w:szCs w:val="20"/>
                              </w:rPr>
                              <w:t>.</w:t>
                            </w:r>
                            <w:r w:rsidR="00C267D5">
                              <w:rPr>
                                <w:rFonts w:ascii="DIN Pro" w:hAnsi="DIN Pro"/>
                                <w:sz w:val="20"/>
                                <w:szCs w:val="20"/>
                              </w:rPr>
                              <w:t>0</w:t>
                            </w:r>
                            <w:r w:rsidR="00E56A4E">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194.1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" filled="f" stroked="f">
                <v:textbox inset=",0,,0">
                  <w:txbxContent>
                    <w:p w14:paraId="4B7F21A1" w14:textId="3BD4430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56A4E">
                        <w:rPr>
                          <w:rFonts w:ascii="DIN Pro" w:hAnsi="DIN Pro"/>
                          <w:sz w:val="20"/>
                          <w:szCs w:val="20"/>
                        </w:rPr>
                        <w:t>04</w:t>
                      </w:r>
                      <w:r w:rsidR="002F3CDF" w:rsidRPr="00092F03">
                        <w:rPr>
                          <w:rFonts w:ascii="DIN Pro" w:hAnsi="DIN Pro"/>
                          <w:sz w:val="20"/>
                          <w:szCs w:val="20"/>
                        </w:rPr>
                        <w:t>.</w:t>
                      </w:r>
                      <w:r w:rsidR="00C267D5">
                        <w:rPr>
                          <w:rFonts w:ascii="DIN Pro" w:hAnsi="DIN Pro"/>
                          <w:sz w:val="20"/>
                          <w:szCs w:val="20"/>
                        </w:rPr>
                        <w:t>0</w:t>
                      </w:r>
                      <w:r w:rsidR="00E56A4E">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altName w:val="Calibri"/>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246F"/>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0FA7"/>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6667"/>
    <w:rsid w:val="00556F56"/>
    <w:rsid w:val="0055750D"/>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87A64"/>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A4E"/>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474</cp:revision>
  <cp:lastPrinted>2024-02-02T13:10:00Z</cp:lastPrinted>
  <dcterms:created xsi:type="dcterms:W3CDTF">2020-06-23T09:12:00Z</dcterms:created>
  <dcterms:modified xsi:type="dcterms:W3CDTF">2024-04-04T14:14:00Z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