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4F0315E5" w:rsidR="00854188" w:rsidRPr="00BE0FFC" w:rsidRDefault="0022006B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7C25B32">
                <wp:simplePos x="0" y="0"/>
                <wp:positionH relativeFrom="page">
                  <wp:posOffset>342900</wp:posOffset>
                </wp:positionH>
                <wp:positionV relativeFrom="page">
                  <wp:posOffset>3086100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EA9FAB9" w:rsidR="00AE48BE" w:rsidRPr="00915D28" w:rsidRDefault="008123B9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REwS</w:t>
                            </w:r>
                            <w:proofErr w:type="spellEnd"/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B5A9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7CC452C0" w:rsidR="00F739C5" w:rsidRPr="00715586" w:rsidRDefault="008123B9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96 S. A 4 und 2 Falttafeln mit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Anhang zum Download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  <w:t>(PDF, Word, Excel)</w:t>
                            </w:r>
                            <w:r w:rsidR="00FD771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C52C0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5A9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EF9F5C8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539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3D5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27pt;margin-top:243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Q4QEAAKI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" filled="f" stroked="f" strokecolor="#c30">
                <v:textbox>
                  <w:txbxContent>
                    <w:p w14:paraId="0D6C6BB0" w14:textId="3EA9FAB9" w:rsidR="00AE48BE" w:rsidRPr="00915D28" w:rsidRDefault="008123B9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REwS</w:t>
                      </w:r>
                      <w:proofErr w:type="spellEnd"/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AB5A9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7CC452C0" w:rsidR="00F739C5" w:rsidRPr="00715586" w:rsidRDefault="008123B9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96 S. A 4 und 2 Falttafeln mit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  <w:t xml:space="preserve">Anhang zum Download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  <w:t>(PDF, Word, Excel)</w:t>
                      </w:r>
                      <w:r w:rsidR="00FD771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C52C0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AB5A9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EF9F5C8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539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009C5054">
                <wp:simplePos x="0" y="0"/>
                <wp:positionH relativeFrom="page">
                  <wp:posOffset>457200</wp:posOffset>
                </wp:positionH>
                <wp:positionV relativeFrom="page">
                  <wp:posOffset>8153400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7" type="#_x0000_t202" href="http://www.instagram.com/fgsv_verlag/" style="position:absolute;left:0;text-align:left;margin-left:36pt;margin-top:642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E0C155D">
                <wp:simplePos x="0" y="0"/>
                <wp:positionH relativeFrom="page">
                  <wp:posOffset>323850</wp:posOffset>
                </wp:positionH>
                <wp:positionV relativeFrom="page">
                  <wp:posOffset>5924550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66.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0C11BD00">
                <wp:simplePos x="0" y="0"/>
                <wp:positionH relativeFrom="page">
                  <wp:posOffset>2971800</wp:posOffset>
                </wp:positionH>
                <wp:positionV relativeFrom="margin">
                  <wp:posOffset>2209165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55574939" w:rsidR="00D75A16" w:rsidRPr="00D06CEA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2079B6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Richtlinien für die Entwässerung von Straßen</w:t>
                            </w:r>
                            <w:r w:rsidR="00D06CEA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="007D682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D06CE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539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2079B6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6C6B37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 xml:space="preserve">Die </w:t>
                            </w:r>
                            <w:proofErr w:type="spellStart"/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 Ausgabe 2021, ersetzen die RAS-</w:t>
                            </w:r>
                            <w:proofErr w:type="spellStart"/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Ew</w:t>
                            </w:r>
                            <w:proofErr w:type="spellEnd"/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 Ausgabe 2005.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88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06CE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4EABE8D" w14:textId="7979A66C" w:rsidR="00D8268D" w:rsidRPr="00D8268D" w:rsidRDefault="00D8268D" w:rsidP="00D8268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Zu den wichtigen Voraussetzungen für die Nutzbarkeit und den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Bestand von Straßen und Plätzen gehört deren wirkungsvolle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Entwässerung. Die „Richtlinien für die Entwässerung von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Straßen“ (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), Ausgabe 2021, wurden nun auf der Grundlage der „Richtlinien für die Anlage von Straßen, Teil: Entwässerung“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(RAS-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Ew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), Ausgabe 2005, fortgeschrieben. Die 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wurden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unter Berücksichtigung der Belange der Wasserwirtschaft, des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Gewässerschutzes, des Bodenschutzes, des Naturschutzes und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der Landschaftspflege sowie des Städtebaus erstellt. LAWA, DWA und DVGM wurden beteiligt.</w:t>
                            </w:r>
                          </w:p>
                          <w:p w14:paraId="6C9D185D" w14:textId="6B2D241C" w:rsidR="00D8268D" w:rsidRPr="00D8268D" w:rsidRDefault="00D8268D" w:rsidP="00D8268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enthalten planerische Grundsätze und allgemein gültige Lösungsvorschläge für die Entwässerung von Straßen. Sie geben Hinweise für die Aufstellung des Entwurfes der Entwässerungs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einrichtungen und sollen damit zu einer einheitlichen Gestaltung der Entwässerung der Straßen beitragen. Für die Erneuerung von Straßen wird die Anwendung der 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empfohlen. Die gelten für den Neubau und für den Um- und Ausbau von Straßen außerhalb geschlossener Ortschaften (Außerortsstraßen) und sinngemäß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für deren Nebenanlagen (z. B. Parkplätze).</w:t>
                            </w:r>
                          </w:p>
                          <w:p w14:paraId="61BC8C6A" w14:textId="21B737D7" w:rsidR="00D8268D" w:rsidRPr="00D8268D" w:rsidRDefault="00D8268D" w:rsidP="00D8268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Tabellen zur Bemessung von Entwässerungsrinnen und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-mulden in befestigten Verkehrsflächen und der Anhang mit den Bemessungstabellen für Mulden, Raubettmulden, Rohrleitungen und Rohrdurchlässe aus den Vorfassungen der RAS-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Ew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wurden vollständig in die 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Ausgabe 2021, übernommen.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Erläuterungen und Bemessungstabellen liegen nun jeweils in den Dateiformaten PDF, Word oder Excel vor und stehen im Internet zum Download bereit (www.fgsv-verlag.de, Suche: „</w:t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“).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Im </w:t>
                            </w:r>
                            <w:proofErr w:type="gram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FGSV  Reader</w:t>
                            </w:r>
                            <w:proofErr w:type="gram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sind die Anhänge 6 „Tabellen zur Ermittlung der Leistungsfähigkeit“ und 7 „Entwässerungsrinnen und Straßen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abläufe</w:t>
                            </w:r>
                            <w:proofErr w:type="spellEnd"/>
                            <w:r w:rsidRPr="00D8268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in befestigten Verkehrsflächen“</w:t>
                            </w:r>
                            <w:r w:rsidR="00EB35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mit aufgenommen. </w:t>
                            </w:r>
                            <w:r w:rsidR="00EB35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Der Anhang zu den </w:t>
                            </w:r>
                            <w:proofErr w:type="spellStart"/>
                            <w:r w:rsidR="00EB35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REwS</w:t>
                            </w:r>
                            <w:proofErr w:type="spellEnd"/>
                            <w:r w:rsidR="00EB35F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mit den Anhängen 6 und 7 kann als Print-on-Demand beim FGSV Verlag auch zusätzlich gedruckt bezogen werden (FGSV 539 Anhang).</w:t>
                            </w:r>
                          </w:p>
                          <w:p w14:paraId="6D47BDC9" w14:textId="10959723" w:rsidR="00365687" w:rsidRPr="00D06CEA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73.9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DSVSJ+5AAAAA0BAAAPAAAAAAAAAAAAAAAAADoEAABkcnMvZG93bnJldi54&#10;bWxQSwUGAAAAAAQABADzAAAASwUAAAAA&#10;" filled="f" stroked="f">
                <v:textbox inset="0,0,,0">
                  <w:txbxContent>
                    <w:p w14:paraId="75C6FC1E" w14:textId="55574939" w:rsidR="00D75A16" w:rsidRPr="00D06CEA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2079B6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Richtlinien für die Entwässerung von Straßen</w:t>
                      </w:r>
                      <w:r w:rsidR="00D06CEA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="007D682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D06CE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539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2079B6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6C6B37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 xml:space="preserve">Die </w:t>
                      </w:r>
                      <w:proofErr w:type="spellStart"/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 Ausgabe 2021, ersetzen die RAS-</w:t>
                      </w:r>
                      <w:proofErr w:type="spellStart"/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Ew</w:t>
                      </w:r>
                      <w:proofErr w:type="spellEnd"/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 Ausgabe 2005.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93546B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88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7D68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06CE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4EABE8D" w14:textId="7979A66C" w:rsidR="00D8268D" w:rsidRPr="00D8268D" w:rsidRDefault="00D8268D" w:rsidP="00D8268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Zu den wichtigen Voraussetzungen für die Nutzbarkeit und den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Bestand von Straßen und Plätzen gehört deren wirkungsvolle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Entwässerung. Die „Richtlinien für die Entwässerung von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Straßen“ (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), Ausgabe 2021, wurden nun auf der Grundlage der „Richtlinien für die Anlage von Straßen, Teil: Entwässerung“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(RAS-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Ew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), Ausgabe 2005, fortgeschrieben. Die 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wurden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unter Berücksichtigung der Belange der Wasserwirtschaft, des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Gewässerschutzes, des Bodenschutzes, des Naturschutzes und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der Landschaftspflege sowie des Städtebaus erstellt. LAWA, DWA und DVGM wurden beteiligt.</w:t>
                      </w:r>
                    </w:p>
                    <w:p w14:paraId="6C9D185D" w14:textId="6B2D241C" w:rsidR="00D8268D" w:rsidRPr="00D8268D" w:rsidRDefault="00D8268D" w:rsidP="00D8268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enthalten planerische Grundsätze und allgemein gültige Lösungsvorschläge für die Entwässerung von Straßen. Sie geben Hinweise für die Aufstellung des Entwurfes der Entwässerungs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einrichtungen und sollen damit zu einer einheitlichen Gestaltung der Entwässerung der Straßen beitragen. Für die Erneuerung von Straßen wird die Anwendung der 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empfohlen. Die gelten für den Neubau und für den Um- und Ausbau von Straßen außerhalb geschlossener Ortschaften (Außerortsstraßen) und sinngemäß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für deren Nebenanlagen (z. B. Parkplätze).</w:t>
                      </w:r>
                    </w:p>
                    <w:p w14:paraId="61BC8C6A" w14:textId="21B737D7" w:rsidR="00D8268D" w:rsidRPr="00D8268D" w:rsidRDefault="00D8268D" w:rsidP="00D8268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Tabellen zur Bemessung von Entwässerungsrinnen und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-mulden in befestigten Verkehrsflächen und der Anhang mit den Bemessungstabellen für Mulden, Raubettmulden, Rohrleitungen und Rohrdurchlässe aus den Vorfassungen der RAS-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Ew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wurden vollständig in die 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Ausgabe 2021, übernommen.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Erläuterungen und Bemessungstabellen liegen nun jeweils in den Dateiformaten PDF, Word oder Excel vor und stehen im Internet zum Download bereit (www.fgsv-verlag.de, Suche: „</w:t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“).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Im </w:t>
                      </w:r>
                      <w:proofErr w:type="gram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FGSV  Reader</w:t>
                      </w:r>
                      <w:proofErr w:type="gram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sind die Anhänge 6 „Tabellen zur Ermittlung der Leistungsfähigkeit“ und 7 „Entwässerungsrinnen und Straßen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abläufe</w:t>
                      </w:r>
                      <w:proofErr w:type="spellEnd"/>
                      <w:r w:rsidRPr="00D8268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in befestigten Verkehrsflächen“</w:t>
                      </w:r>
                      <w:r w:rsidR="00EB35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mit aufgenommen. </w:t>
                      </w:r>
                      <w:r w:rsidR="00EB35F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Der Anhang zu den </w:t>
                      </w:r>
                      <w:proofErr w:type="spellStart"/>
                      <w:r w:rsidR="00EB35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REwS</w:t>
                      </w:r>
                      <w:proofErr w:type="spellEnd"/>
                      <w:r w:rsidR="00EB35F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mit den Anhängen 6 und 7 kann als Print-on-Demand beim FGSV Verlag auch zusätzlich gedruckt bezogen werden (FGSV 539 Anhang).</w:t>
                      </w:r>
                    </w:p>
                    <w:p w14:paraId="6D47BDC9" w14:textId="10959723" w:rsidR="00365687" w:rsidRPr="00D06CEA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079B6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257197E2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6286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425EB9D3" w:rsidR="00050808" w:rsidRPr="005612C3" w:rsidRDefault="002F3D45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REwS</w:t>
                            </w:r>
                            <w:proofErr w:type="spellEnd"/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Richtlinien für die Entwässerung von Straßen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49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" filled="f" stroked="f">
                <v:textbox inset="0,0,0,0">
                  <w:txbxContent>
                    <w:p w14:paraId="35762754" w14:textId="425EB9D3" w:rsidR="00050808" w:rsidRPr="005612C3" w:rsidRDefault="002F3D45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REwS</w:t>
                      </w:r>
                      <w:proofErr w:type="spellEnd"/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Richtlinien für die Entwässerung von Straßen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9B6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11DC8528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5DC93A43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23B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8123B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5DC93A43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8123B9">
                        <w:rPr>
                          <w:rFonts w:ascii="DIN Pro" w:hAnsi="DIN Pro"/>
                          <w:sz w:val="20"/>
                          <w:szCs w:val="20"/>
                        </w:rPr>
                        <w:t>08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8123B9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3"/>
  </w:num>
  <w:num w:numId="3" w16cid:durableId="2310860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7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5"/>
  </w:num>
  <w:num w:numId="14" w16cid:durableId="1990937497">
    <w:abstractNumId w:val="12"/>
  </w:num>
  <w:num w:numId="15" w16cid:durableId="1565603201">
    <w:abstractNumId w:val="11"/>
  </w:num>
  <w:num w:numId="16" w16cid:durableId="1824196569">
    <w:abstractNumId w:val="7"/>
  </w:num>
  <w:num w:numId="17" w16cid:durableId="714744085">
    <w:abstractNumId w:val="16"/>
  </w:num>
  <w:num w:numId="18" w16cid:durableId="456989410">
    <w:abstractNumId w:val="10"/>
  </w:num>
  <w:num w:numId="19" w16cid:durableId="493646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309</cp:revision>
  <cp:lastPrinted>2022-03-02T09:55:00Z</cp:lastPrinted>
  <dcterms:created xsi:type="dcterms:W3CDTF">2020-06-23T09:12:00Z</dcterms:created>
  <dcterms:modified xsi:type="dcterms:W3CDTF">2022-04-08T09:19:00Z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