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C0B195E" w:rsidR="00854188" w:rsidRPr="00BE0FFC" w:rsidRDefault="00F80B9C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5138AE66">
                <wp:simplePos x="0" y="0"/>
                <wp:positionH relativeFrom="page">
                  <wp:posOffset>2971800</wp:posOffset>
                </wp:positionH>
                <wp:positionV relativeFrom="margin">
                  <wp:posOffset>2752725</wp:posOffset>
                </wp:positionV>
                <wp:extent cx="4152900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4250884D" w:rsidR="00D75A16" w:rsidRPr="00721CA1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hat 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mit der Lieferung Dezember 2022 die „Technischen Prüfvorschriften für 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Gesteinskörnungen im Straßenbau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33653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(TP 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Gestein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-StB) (FGSV 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610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 aktualisiert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und ergänzt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3546B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33653F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0989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56DE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 w:rsidR="0053385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F30429"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7F7F79E" w14:textId="4783D5DD" w:rsidR="00533850" w:rsidRPr="00156DE7" w:rsidRDefault="00156DE7" w:rsidP="00533850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Sammlung „Technische Prüfvorschriften für Gesteinskörnungen im Straßenbau“ (TP Gestein-StB) unterliegt einer ständigen Ver</w:t>
                            </w:r>
                            <w:r w:rsidR="003365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3365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änderung. Das Gesamtwerk TP Gestein-StB gilt immer in seiner </w:t>
                            </w:r>
                            <w:r w:rsidR="003365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jeweiligen neuesten Fassung. Die TP Gestein-StB werden in ihrer </w:t>
                            </w:r>
                            <w:r w:rsidR="003365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jeweils neuesten Fassung in den einschlägigen Technischen Lieferbedingungen und Zusätzlichen Technischen Vertragsbedingungen für die Prüfung von Gesteinskörnungen und Ungebundenen </w:t>
                            </w:r>
                            <w:r w:rsidR="0033653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Gemischen in Bezug genommen. </w:t>
                            </w:r>
                            <w:r w:rsidR="00343E6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156DE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Mit dieser Lieferung werden mit einer neuen Ausgabe folgende Teile veröffentlicht: </w:t>
                            </w:r>
                          </w:p>
                          <w:p w14:paraId="7EE35A10" w14:textId="36975FBF" w:rsidR="00533850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Vorbemerkung und Gliederung sowie redaktionelle Informationen</w:t>
                            </w:r>
                          </w:p>
                          <w:p w14:paraId="6841049E" w14:textId="64F1A293" w:rsidR="000622A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2.2 „Probenahme“</w:t>
                            </w:r>
                          </w:p>
                          <w:p w14:paraId="19AEB253" w14:textId="37D9A8B5" w:rsidR="000622A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5.1.5 „Schlagprüfung an Lavaschlacke“</w:t>
                            </w:r>
                          </w:p>
                          <w:p w14:paraId="1FBD192B" w14:textId="503F2E00" w:rsidR="000622A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5.3.1.2 „Los-Angeles-Prüfverfahren für </w:t>
                            </w:r>
                            <w:r w:rsidR="00F80B9C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Gesteinskörnungen &gt; 32 mm“</w:t>
                            </w:r>
                          </w:p>
                          <w:p w14:paraId="1B9A0B20" w14:textId="387A5FFD" w:rsidR="000622A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5.4.1 „Bestimmung des Polierwertes (PSV)“</w:t>
                            </w:r>
                          </w:p>
                          <w:p w14:paraId="6B108CCB" w14:textId="33E2A4E3" w:rsidR="000622A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5.4.3 „Bestimmung des Polierwertes von feinen Gesteinskörnungen (PSVfGK)“</w:t>
                            </w:r>
                          </w:p>
                          <w:p w14:paraId="18DC6844" w14:textId="27B063EA" w:rsidR="000622A7" w:rsidRPr="00156DE7" w:rsidRDefault="000622A7" w:rsidP="0053385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6.2 „Untersuchung auf Sonnenbrand“</w:t>
                            </w:r>
                            <w:r w:rsidR="00343E67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30306C7" w14:textId="5792B741" w:rsidR="00533850" w:rsidRPr="00156DE7" w:rsidRDefault="00343E67" w:rsidP="00533850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w</w:t>
                            </w:r>
                            <w:r w:rsidR="000622A7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eiterhin wird erstmalig folgender Teil geliefert:</w:t>
                            </w:r>
                          </w:p>
                          <w:p w14:paraId="6D47BDC9" w14:textId="328D166D" w:rsidR="00365687" w:rsidRPr="00721CA1" w:rsidRDefault="000622A7" w:rsidP="000622A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5.1.3 „Schlagversuch an Gesteinskörnungen &gt; 32 mm“</w:t>
                            </w:r>
                            <w:r w:rsidR="00343E67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6.75pt;width:327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" filled="f" stroked="f">
                <v:textbox inset="0,0,,0">
                  <w:txbxContent>
                    <w:p w14:paraId="75C6FC1E" w14:textId="4250884D" w:rsidR="00D75A16" w:rsidRPr="00721CA1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hat 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mit der Lieferung Dezember 2022 die „Technischen Prüfvorschriften für 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Gesteinskörnungen im Straßenbau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“</w:t>
                      </w:r>
                      <w:r w:rsidR="0033653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(TP 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Gestein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-StB) (FGSV 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610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 aktualisiert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und ergänzt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 </w:t>
                      </w:r>
                      <w:r w:rsidR="0093546B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33653F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0989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56DE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 w:rsidR="0053385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F30429"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7F7F79E" w14:textId="4783D5DD" w:rsidR="00533850" w:rsidRPr="00156DE7" w:rsidRDefault="00156DE7" w:rsidP="00533850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Sammlung „Technische Prüfvorschriften für Gesteinskörnungen im Straßenbau“ (TP Gestein-StB) unterliegt einer ständigen Ver</w:t>
                      </w:r>
                      <w:r w:rsidR="0033653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3365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änderung. Das Gesamtwerk TP Gestein-StB gilt immer in seiner </w:t>
                      </w:r>
                      <w:r w:rsidR="003365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jeweiligen neuesten Fassung. Die TP Gestein-StB werden in ihrer </w:t>
                      </w:r>
                      <w:r w:rsidR="003365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jeweils neuesten Fassung in den einschlägigen Technischen Lieferbedingungen und Zusätzlichen Technischen Vertragsbedingungen für die Prüfung von Gesteinskörnungen und Ungebundenen </w:t>
                      </w:r>
                      <w:r w:rsidR="0033653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Gemischen in Bezug genommen. </w:t>
                      </w:r>
                      <w:r w:rsidR="00343E6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156DE7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Mit dieser Lieferung werden mit einer neuen Ausgabe folgende Teile veröffentlicht: </w:t>
                      </w:r>
                    </w:p>
                    <w:p w14:paraId="7EE35A10" w14:textId="36975FBF" w:rsidR="00533850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Vorbemerkung und Gliederung sowie redaktionelle Informationen</w:t>
                      </w:r>
                    </w:p>
                    <w:p w14:paraId="6841049E" w14:textId="64F1A293" w:rsidR="000622A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2.2 „Probenahme“</w:t>
                      </w:r>
                    </w:p>
                    <w:p w14:paraId="19AEB253" w14:textId="37D9A8B5" w:rsidR="000622A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5.1.5 „Schlagprüfung an Lavaschlacke“</w:t>
                      </w:r>
                    </w:p>
                    <w:p w14:paraId="1FBD192B" w14:textId="503F2E00" w:rsidR="000622A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5.3.1.2 „Los-Angeles-Prüfverfahren für </w:t>
                      </w:r>
                      <w:r w:rsidR="00F80B9C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Gesteinskörnungen &gt; 32 mm“</w:t>
                      </w:r>
                    </w:p>
                    <w:p w14:paraId="1B9A0B20" w14:textId="387A5FFD" w:rsidR="000622A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5.4.1 „Bestimmung des Polierwertes (PSV)“</w:t>
                      </w:r>
                    </w:p>
                    <w:p w14:paraId="6B108CCB" w14:textId="33E2A4E3" w:rsidR="000622A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5.4.3 „Bestimmung des Polierwertes von feinen Gesteinskörnungen (PSVfGK)“</w:t>
                      </w:r>
                    </w:p>
                    <w:p w14:paraId="18DC6844" w14:textId="27B063EA" w:rsidR="000622A7" w:rsidRPr="00156DE7" w:rsidRDefault="000622A7" w:rsidP="00533850">
                      <w:pPr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6.2 „Untersuchung auf Sonnenbrand“</w:t>
                      </w:r>
                      <w:r w:rsidR="00343E67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,</w:t>
                      </w:r>
                    </w:p>
                    <w:p w14:paraId="730306C7" w14:textId="5792B741" w:rsidR="00533850" w:rsidRPr="00156DE7" w:rsidRDefault="00343E67" w:rsidP="00533850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w</w:t>
                      </w:r>
                      <w:r w:rsidR="000622A7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eiterhin wird erstmalig folgender Teil geliefert:</w:t>
                      </w:r>
                    </w:p>
                    <w:p w14:paraId="6D47BDC9" w14:textId="328D166D" w:rsidR="00365687" w:rsidRPr="00721CA1" w:rsidRDefault="000622A7" w:rsidP="000622A7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5.1.3 „Schlagversuch an Gesteinskörnungen &gt; 32 mm“</w:t>
                      </w:r>
                      <w:r w:rsidR="00343E67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16099"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477881E3">
                <wp:simplePos x="0" y="0"/>
                <wp:positionH relativeFrom="page">
                  <wp:posOffset>457200</wp:posOffset>
                </wp:positionH>
                <wp:positionV relativeFrom="page">
                  <wp:posOffset>8486775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7" type="#_x0000_t202" href="http://www.instagram.com/fgsv_verlag/" style="position:absolute;left:0;text-align:left;margin-left:36pt;margin-top:668.25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sGu7Wt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609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D441222">
                <wp:simplePos x="0" y="0"/>
                <wp:positionH relativeFrom="page">
                  <wp:posOffset>342900</wp:posOffset>
                </wp:positionH>
                <wp:positionV relativeFrom="page">
                  <wp:posOffset>3629025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C385" w14:textId="2B981D33" w:rsidR="00386479" w:rsidRPr="00386479" w:rsidRDefault="00386479" w:rsidP="00386479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TP </w:t>
                            </w:r>
                            <w:r w:rsidR="00156DE7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Gestein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-StB,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Lieferung Dezember 2022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95383CF" w:rsidR="00F739C5" w:rsidRPr="00715586" w:rsidRDefault="00386479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="00156DE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342ECC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6DE7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156DE7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0028D1E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156DE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610</w:t>
                            </w:r>
                            <w:r w:rsidR="001B6A6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156DE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85.75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" filled="f" stroked="f" strokecolor="#c30">
                <v:textbox>
                  <w:txbxContent>
                    <w:p w14:paraId="7226C385" w14:textId="2B981D33" w:rsidR="00386479" w:rsidRPr="00386479" w:rsidRDefault="00386479" w:rsidP="00386479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TP </w:t>
                      </w:r>
                      <w:r w:rsidR="00156DE7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Gestein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-StB,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Lieferung Dezember 2022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95383CF" w:rsidR="00F739C5" w:rsidRPr="00715586" w:rsidRDefault="00386479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3</w:t>
                      </w:r>
                      <w:r w:rsidR="00156DE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342EC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342ECC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6DE7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156DE7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0028D1E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156DE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610</w:t>
                      </w:r>
                      <w:r w:rsidR="001B6A6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156DE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609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5512EE94">
                <wp:simplePos x="0" y="0"/>
                <wp:positionH relativeFrom="page">
                  <wp:posOffset>323850</wp:posOffset>
                </wp:positionH>
                <wp:positionV relativeFrom="page">
                  <wp:posOffset>6467475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9.25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609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65AF0946">
                <wp:simplePos x="0" y="0"/>
                <wp:positionH relativeFrom="page">
                  <wp:posOffset>2971800</wp:posOffset>
                </wp:positionH>
                <wp:positionV relativeFrom="page">
                  <wp:posOffset>2495550</wp:posOffset>
                </wp:positionV>
                <wp:extent cx="4105275" cy="9906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B1AFB" w14:textId="7DCBE79A" w:rsidR="0066239E" w:rsidRPr="0066239E" w:rsidRDefault="0066239E" w:rsidP="0066239E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TP </w:t>
                            </w:r>
                            <w:r w:rsidR="00156DE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Gestein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-StB – Technische Prüfvorschriften für </w:t>
                            </w:r>
                            <w:r w:rsidR="00D16099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156DE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Gesteinskörnungen im Straßenbau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16099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Lieferung Dezember 2022 mit de</w:t>
                            </w:r>
                            <w:r w:rsidR="00156DE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 neuen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Teil</w:t>
                            </w:r>
                            <w:r w:rsidR="00156DE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5.1.3 sowie den aktualisierten Teilen 2.2, 5.1.5, 5.3.1.2, 5.4.1, 5.4.3 und 6.2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6.5pt;width:323.25pt;height:78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" filled="f" stroked="f">
                <v:textbox inset="0,0,0,0">
                  <w:txbxContent>
                    <w:p w14:paraId="669B1AFB" w14:textId="7DCBE79A" w:rsidR="0066239E" w:rsidRPr="0066239E" w:rsidRDefault="0066239E" w:rsidP="0066239E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TP </w:t>
                      </w:r>
                      <w:r w:rsidR="00156DE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Gestein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-StB – Technische Prüfvorschriften für </w:t>
                      </w:r>
                      <w:r w:rsidR="00D16099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156DE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Gesteinskörnungen im Straßenbau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D16099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Lieferung Dezember 2022 mit de</w:t>
                      </w:r>
                      <w:r w:rsidR="00156DE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 neuen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Teil</w:t>
                      </w:r>
                      <w:r w:rsidR="00156DE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5.1.3 sowie den aktualisierten Teilen 2.2, 5.1.5, 5.3.1.2, 5.4.1, 5.4.3 und 6.2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794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BC154B4">
                <wp:simplePos x="0" y="0"/>
                <wp:positionH relativeFrom="page">
                  <wp:posOffset>352425</wp:posOffset>
                </wp:positionH>
                <wp:positionV relativeFrom="page">
                  <wp:posOffset>2524125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8E9744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86479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198.7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" filled="f" stroked="f">
                <v:textbox inset=",0,,0">
                  <w:txbxContent>
                    <w:p w14:paraId="4B7F21A1" w14:textId="68E9744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31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86479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00AAEF68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00AAEF68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7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8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  <w:num w:numId="21" w16cid:durableId="470174357">
    <w:abstractNumId w:val="16"/>
  </w:num>
  <w:num w:numId="22" w16cid:durableId="954496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634B"/>
    <w:rsid w:val="00050808"/>
    <w:rsid w:val="00057CC4"/>
    <w:rsid w:val="000607AA"/>
    <w:rsid w:val="000618A4"/>
    <w:rsid w:val="000622A7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10989"/>
    <w:rsid w:val="00112DB9"/>
    <w:rsid w:val="00114AFB"/>
    <w:rsid w:val="00115784"/>
    <w:rsid w:val="001171AE"/>
    <w:rsid w:val="001175DD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51F0"/>
    <w:rsid w:val="00156DE7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B6A65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575CA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53F"/>
    <w:rsid w:val="00336630"/>
    <w:rsid w:val="00342ECC"/>
    <w:rsid w:val="00343E67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479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3850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239E"/>
    <w:rsid w:val="006633FD"/>
    <w:rsid w:val="00667949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5E1E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1CA1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4731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0A44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9DE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36D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4B88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1B9E"/>
    <w:rsid w:val="00BC3060"/>
    <w:rsid w:val="00BC60F1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6A22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6099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41D5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4A9D"/>
    <w:rsid w:val="00F66215"/>
    <w:rsid w:val="00F713E7"/>
    <w:rsid w:val="00F71775"/>
    <w:rsid w:val="00F739C5"/>
    <w:rsid w:val="00F77964"/>
    <w:rsid w:val="00F80B9C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353</cp:revision>
  <cp:lastPrinted>2022-06-30T09:44:00Z</cp:lastPrinted>
  <dcterms:created xsi:type="dcterms:W3CDTF">2020-06-23T09:12:00Z</dcterms:created>
  <dcterms:modified xsi:type="dcterms:W3CDTF">2023-01-31T15:12:00Z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