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3EA9C800" w:rsidR="00854188" w:rsidRPr="00BE0FFC" w:rsidRDefault="00DF0AF8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4EE9772">
                <wp:simplePos x="0" y="0"/>
                <wp:positionH relativeFrom="page">
                  <wp:posOffset>2971800</wp:posOffset>
                </wp:positionH>
                <wp:positionV relativeFrom="margin">
                  <wp:posOffset>2540635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5E312317" w:rsidR="00D75A16" w:rsidRPr="00EC55EB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A732F2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A732F2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Technischen Lieferbedingungen für </w:t>
                            </w:r>
                            <w:r w:rsidR="00E03553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Gesteins-</w:t>
                            </w:r>
                            <w:r w:rsidR="00E03553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E03553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körnungen</w:t>
                            </w:r>
                            <w:proofErr w:type="spellEnd"/>
                            <w:r w:rsidR="00E03553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im Straßenbau</w:t>
                            </w:r>
                            <w:r w:rsidR="0038647E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F47614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6826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A732F2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TL </w:t>
                            </w:r>
                            <w:r w:rsidR="00F47614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</w:t>
                            </w:r>
                            <w:r w:rsidR="00E03553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estein-</w:t>
                            </w:r>
                            <w:proofErr w:type="spellStart"/>
                            <w:r w:rsidR="00E03553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E03553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04/23</w:t>
                            </w:r>
                            <w:r w:rsidR="007D6826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F47614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E0355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13</w:t>
                            </w: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355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</w:t>
                            </w:r>
                            <w:r w:rsidR="00E0355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04</w:t>
                            </w:r>
                            <w:r w:rsidR="00B573A7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/Fassung 2023</w:t>
                            </w:r>
                            <w:r w:rsidR="006C6B37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73A7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TL </w:t>
                            </w:r>
                            <w:r w:rsidR="00E0355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  <w:t>Gestein-</w:t>
                            </w:r>
                            <w:proofErr w:type="spellStart"/>
                            <w:r w:rsidR="00E0355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="00E0355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04/23 </w:t>
                            </w:r>
                            <w:r w:rsidR="00B573A7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ersetzen die Ausgabe 20</w:t>
                            </w:r>
                            <w:r w:rsidR="00E0355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04/Fassung 2018</w:t>
                            </w:r>
                            <w:r w:rsidR="00B573A7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0355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93546B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E0355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50</w:t>
                            </w: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E0355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DC5DF8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3553"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EC55E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2D7E133C" w14:textId="1F5C606C" w:rsidR="00EC55EB" w:rsidRPr="00EC55EB" w:rsidRDefault="00EC55EB" w:rsidP="00EC55EB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TL Gestein-</w:t>
                            </w:r>
                            <w:proofErr w:type="spellStart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enthalten Anforderungen an natürliche,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industriell hergestellte und rezyklierte Gesteinskörnungen,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bei der Herstellung von Oberbauschichten aus Asphalt, Beton, hydraulisch gebundenen und ungebundenen Baustoffgemischen, Pflasterdecken und Plattenbelägen sowie für Gesteinskörnungen als </w:t>
                            </w:r>
                            <w:proofErr w:type="spellStart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Abstreumaterial</w:t>
                            </w:r>
                            <w:proofErr w:type="spellEnd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für abstumpfende Maßnahmen der Asphaltdeckschichten verwendet werden. Die TL Gestein-</w:t>
                            </w:r>
                            <w:proofErr w:type="spellStart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sind auch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für den Bereich Asphaltbauweisen für die Bauliche Erhaltung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– Anspritzen und </w:t>
                            </w:r>
                            <w:proofErr w:type="spellStart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Abstreuen</w:t>
                            </w:r>
                            <w:proofErr w:type="spellEnd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Oberflächenbehandlungen, Dünne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Asphaltdeckschichten in Kaltbauweise, Dünne Asphaltdeck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schichten in Heißbauweise auf Versiegelung – anzuwenden.</w:t>
                            </w:r>
                          </w:p>
                          <w:p w14:paraId="24117DCB" w14:textId="73CDD5D9" w:rsidR="00EC55EB" w:rsidRPr="00EC55EB" w:rsidRDefault="00EC55EB" w:rsidP="00EC55EB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neue Fassung 2023 der TL Gestein-</w:t>
                            </w:r>
                            <w:proofErr w:type="spellStart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StB</w:t>
                            </w:r>
                            <w:proofErr w:type="spellEnd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enthalten auch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Anforderungen an umweltrelevante Merkmale von industriell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hergestellten und von rezyklierten Gesteinskörnungen.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Fest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legungen</w:t>
                            </w:r>
                            <w:proofErr w:type="spellEnd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der Ersatzbaustoffverordnung (</w:t>
                            </w:r>
                            <w:proofErr w:type="spellStart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ErsatzbaustoffV</w:t>
                            </w:r>
                            <w:proofErr w:type="spellEnd"/>
                            <w:r w:rsidRPr="00EC55E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– EBV) sind umgesetzt worden.</w:t>
                            </w:r>
                          </w:p>
                          <w:p w14:paraId="6D47BDC9" w14:textId="10959723" w:rsidR="00365687" w:rsidRPr="00EC55EB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00.0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" filled="f" stroked="f">
                <v:textbox inset="0,0,,0">
                  <w:txbxContent>
                    <w:p w14:paraId="75C6FC1E" w14:textId="5E312317" w:rsidR="00D75A16" w:rsidRPr="00EC55EB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A732F2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A732F2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Technischen Lieferbedingungen für </w:t>
                      </w:r>
                      <w:r w:rsidR="00E03553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Gesteins-</w:t>
                      </w:r>
                      <w:r w:rsidR="00E03553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E03553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körnungen</w:t>
                      </w:r>
                      <w:proofErr w:type="spellEnd"/>
                      <w:r w:rsidR="00E03553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im Straßenbau</w:t>
                      </w:r>
                      <w:r w:rsidR="0038647E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F47614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7D6826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A732F2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TL </w:t>
                      </w:r>
                      <w:r w:rsidR="00F47614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</w:t>
                      </w:r>
                      <w:r w:rsidR="00E03553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estein-</w:t>
                      </w:r>
                      <w:proofErr w:type="spellStart"/>
                      <w:r w:rsidR="00E03553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E03553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04/23</w:t>
                      </w:r>
                      <w:r w:rsidR="007D6826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F47614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="00E0355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13</w:t>
                      </w: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E0355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</w:t>
                      </w:r>
                      <w:r w:rsidR="00E0355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04</w:t>
                      </w:r>
                      <w:r w:rsidR="00B573A7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/Fassung 2023</w:t>
                      </w:r>
                      <w:r w:rsidR="006C6B37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B573A7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TL </w:t>
                      </w:r>
                      <w:r w:rsidR="00E0355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  <w:t>Gestein-</w:t>
                      </w:r>
                      <w:proofErr w:type="spellStart"/>
                      <w:r w:rsidR="00E0355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="00E0355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04/23 </w:t>
                      </w:r>
                      <w:r w:rsidR="00B573A7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ersetzen die Ausgabe 20</w:t>
                      </w:r>
                      <w:r w:rsidR="00E0355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04/Fassung 2018</w:t>
                      </w:r>
                      <w:r w:rsidR="00B573A7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. </w:t>
                      </w:r>
                      <w:r w:rsidR="00E0355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93546B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E0355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50</w:t>
                      </w: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E0355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DC5DF8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E03553"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EC55E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2D7E133C" w14:textId="1F5C606C" w:rsidR="00EC55EB" w:rsidRPr="00EC55EB" w:rsidRDefault="00EC55EB" w:rsidP="00EC55EB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TL Gestein-</w:t>
                      </w:r>
                      <w:proofErr w:type="spellStart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enthalten Anforderungen an natürliche,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industriell hergestellte und rezyklierte Gesteinskörnungen,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bei der Herstellung von Oberbauschichten aus Asphalt, Beton, hydraulisch gebundenen und ungebundenen Baustoffgemischen, Pflasterdecken und Plattenbelägen sowie für Gesteinskörnungen als </w:t>
                      </w:r>
                      <w:proofErr w:type="spellStart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Abstreumaterial</w:t>
                      </w:r>
                      <w:proofErr w:type="spellEnd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für abstumpfende Maßnahmen der Asphaltdeckschichten verwendet werden. Die TL Gestein-</w:t>
                      </w:r>
                      <w:proofErr w:type="spellStart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sind auch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für den Bereich Asphaltbauweisen für die Bauliche Erhaltung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– Anspritzen und </w:t>
                      </w:r>
                      <w:proofErr w:type="spellStart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Abstreuen</w:t>
                      </w:r>
                      <w:proofErr w:type="spellEnd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Oberflächenbehandlungen, Dünne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Asphaltdeckschichten in Kaltbauweise, Dünne Asphaltdeck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schichten in Heißbauweise auf Versiegelung – anzuwenden.</w:t>
                      </w:r>
                    </w:p>
                    <w:p w14:paraId="24117DCB" w14:textId="73CDD5D9" w:rsidR="00EC55EB" w:rsidRPr="00EC55EB" w:rsidRDefault="00EC55EB" w:rsidP="00EC55EB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neue Fassung 2023 der TL Gestein-</w:t>
                      </w:r>
                      <w:proofErr w:type="spellStart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StB</w:t>
                      </w:r>
                      <w:proofErr w:type="spellEnd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enthalten auch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Anforderungen an umweltrelevante Merkmale von industriell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hergestellten und von rezyklierten Gesteinskörnungen.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Fest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legungen</w:t>
                      </w:r>
                      <w:proofErr w:type="spellEnd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der Ersatzbaustoffverordnung (</w:t>
                      </w:r>
                      <w:proofErr w:type="spellStart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ErsatzbaustoffV</w:t>
                      </w:r>
                      <w:proofErr w:type="spellEnd"/>
                      <w:r w:rsidRPr="00EC55EB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– EBV) sind umgesetzt worden.</w:t>
                      </w:r>
                    </w:p>
                    <w:p w14:paraId="6D47BDC9" w14:textId="10959723" w:rsidR="00365687" w:rsidRPr="00EC55EB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0F345005">
                <wp:simplePos x="0" y="0"/>
                <wp:positionH relativeFrom="page">
                  <wp:posOffset>323850</wp:posOffset>
                </wp:positionH>
                <wp:positionV relativeFrom="page">
                  <wp:posOffset>6256020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92.6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7DDF9D2">
                <wp:simplePos x="0" y="0"/>
                <wp:positionH relativeFrom="page">
                  <wp:posOffset>342900</wp:posOffset>
                </wp:positionH>
                <wp:positionV relativeFrom="page">
                  <wp:posOffset>3417570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19AF89A0" w:rsidR="00AE48BE" w:rsidRPr="00915D28" w:rsidRDefault="007B00F7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TL </w:t>
                            </w:r>
                            <w:r w:rsidR="00341208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G</w:t>
                            </w:r>
                            <w:r w:rsidR="00F4655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estein-</w:t>
                            </w:r>
                            <w:proofErr w:type="spellStart"/>
                            <w:r w:rsidR="00F4655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F4655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04/23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br/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</w:t>
                            </w:r>
                            <w:r w:rsidR="00F46554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04</w:t>
                            </w:r>
                            <w:r w:rsidR="00F7345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/Fassung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4A338822" w:rsidR="00F739C5" w:rsidRPr="00715586" w:rsidRDefault="00F46554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88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17BA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D41F2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7B00F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50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03533583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341208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F46554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13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69.1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" filled="f" stroked="f" strokecolor="#c30">
                <v:textbox>
                  <w:txbxContent>
                    <w:p w14:paraId="0D6C6BB0" w14:textId="19AF89A0" w:rsidR="00AE48BE" w:rsidRPr="00915D28" w:rsidRDefault="007B00F7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TL </w:t>
                      </w:r>
                      <w:r w:rsidR="00341208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G</w:t>
                      </w:r>
                      <w:r w:rsidR="00F46554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estein-</w:t>
                      </w:r>
                      <w:proofErr w:type="spellStart"/>
                      <w:r w:rsidR="00F46554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F46554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04/23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br/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</w:t>
                      </w:r>
                      <w:r w:rsidR="00F46554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04</w:t>
                      </w:r>
                      <w:r w:rsidR="00F7345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/Fassung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4A338822" w:rsidR="00F739C5" w:rsidRPr="00715586" w:rsidRDefault="00F46554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88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17BA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D41F2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R </w:t>
                      </w:r>
                      <w:r w:rsidR="007B00F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50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03533583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341208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F46554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13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1CC4529B">
                <wp:simplePos x="0" y="0"/>
                <wp:positionH relativeFrom="page">
                  <wp:posOffset>457200</wp:posOffset>
                </wp:positionH>
                <wp:positionV relativeFrom="page">
                  <wp:posOffset>8275320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83609447" name="Grafik 183609447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1292473731" name="Grafik 1292473731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51.6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83609447" name="Grafik 183609447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1292473731" name="Grafik 1292473731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99D43CE">
                <wp:simplePos x="0" y="0"/>
                <wp:positionH relativeFrom="page">
                  <wp:posOffset>352425</wp:posOffset>
                </wp:positionH>
                <wp:positionV relativeFrom="page">
                  <wp:posOffset>2607945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CF990EB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345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41208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341208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5.3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ofQVF3wAAAAoBAAAPAAAAAAAAAAAAAAAAADkEAABkcnMvZG93bnJldi54bWxQSwUG&#10;AAAAAAQABADzAAAARQUAAAAA&#10;" filled="f" stroked="f">
                <v:textbox inset=",0,,0">
                  <w:txbxContent>
                    <w:p w14:paraId="4B7F21A1" w14:textId="3CF990EB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F73451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41208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341208">
                        <w:rPr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13F3357">
                <wp:simplePos x="0" y="0"/>
                <wp:positionH relativeFrom="page">
                  <wp:posOffset>2971800</wp:posOffset>
                </wp:positionH>
                <wp:positionV relativeFrom="page">
                  <wp:posOffset>2581275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014A1439" w:rsidR="00050808" w:rsidRPr="005612C3" w:rsidRDefault="007B00F7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TL 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Gestein-</w:t>
                            </w:r>
                            <w:proofErr w:type="spellStart"/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StB</w:t>
                            </w:r>
                            <w:proofErr w:type="spellEnd"/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04/23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Technische Lieferbedingungen für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Gesteinskörnungen im Straßenbau,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181D0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04</w:t>
                            </w:r>
                            <w:r w:rsidR="00181D0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/Fassung 2023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3.2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m92A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" filled="f" stroked="f">
                <v:textbox inset="0,0,0,0">
                  <w:txbxContent>
                    <w:p w14:paraId="35762754" w14:textId="014A1439" w:rsidR="00050808" w:rsidRPr="005612C3" w:rsidRDefault="007B00F7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TL 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Gestein-</w:t>
                      </w:r>
                      <w:proofErr w:type="spellStart"/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StB</w:t>
                      </w:r>
                      <w:proofErr w:type="spellEnd"/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04/23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Technische Lieferbedingungen für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Gesteinskörnungen im Straßenbau,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r w:rsidR="00181D0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04</w:t>
                      </w:r>
                      <w:r w:rsidR="00181D0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/Fassung 2023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6E8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55EB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394</cp:revision>
  <cp:lastPrinted>2023-07-28T12:55:00Z</cp:lastPrinted>
  <dcterms:created xsi:type="dcterms:W3CDTF">2020-06-23T09:12:00Z</dcterms:created>
  <dcterms:modified xsi:type="dcterms:W3CDTF">2023-08-25T07:17:00Z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